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C10B5">
      <w:pPr>
        <w:pStyle w:val="6"/>
        <w:spacing w:after="156"/>
        <w:rPr>
          <w:color w:val="auto"/>
        </w:rPr>
      </w:pPr>
    </w:p>
    <w:p w14:paraId="24E9E0F9">
      <w:pPr>
        <w:pStyle w:val="10"/>
        <w:rPr>
          <w:rFonts w:ascii="宋体" w:hAnsi="宋体"/>
          <w:sz w:val="24"/>
        </w:rPr>
      </w:pP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TOC \o "1-1" \n \h \z \u</w:instrText>
      </w:r>
      <w:r>
        <w:rPr>
          <w:rFonts w:ascii="宋体" w:hAnsi="宋体"/>
          <w:sz w:val="24"/>
        </w:rPr>
        <w:instrText xml:space="preserve"> </w:instrText>
      </w:r>
      <w:r>
        <w:rPr>
          <w:rFonts w:ascii="宋体" w:hAnsi="宋体"/>
          <w:sz w:val="24"/>
        </w:rPr>
        <w:fldChar w:fldCharType="separate"/>
      </w:r>
    </w:p>
    <w:p w14:paraId="3B68759E">
      <w:pPr>
        <w:snapToGrid w:val="0"/>
        <w:rPr>
          <w:rFonts w:ascii="宋体" w:hAnsi="宋体"/>
          <w:sz w:val="24"/>
        </w:rPr>
      </w:pPr>
      <w:r>
        <w:rPr>
          <w:rFonts w:ascii="宋体" w:hAnsi="宋体"/>
          <w:sz w:val="24"/>
        </w:rPr>
        <w:fldChar w:fldCharType="end"/>
      </w:r>
    </w:p>
    <w:p w14:paraId="3174FAFA">
      <w:pPr>
        <w:snapToGrid w:val="0"/>
        <w:rPr>
          <w:rFonts w:ascii="宋体" w:hAnsi="宋体"/>
          <w:sz w:val="24"/>
        </w:rPr>
      </w:pPr>
    </w:p>
    <w:p w14:paraId="6FCD14B8">
      <w:pPr>
        <w:spacing w:line="360" w:lineRule="auto"/>
        <w:rPr>
          <w:rFonts w:ascii="宋体" w:hAnsi="宋体"/>
          <w:b/>
          <w:bCs/>
          <w:sz w:val="24"/>
        </w:rPr>
      </w:pPr>
      <w:r>
        <w:rPr>
          <w:rFonts w:hint="eastAsia" w:ascii="宋体" w:hAnsi="宋体"/>
          <w:sz w:val="24"/>
        </w:rPr>
        <w:t xml:space="preserve">                         </w:t>
      </w:r>
    </w:p>
    <w:p w14:paraId="29A0D71F">
      <w:pPr>
        <w:spacing w:line="360" w:lineRule="auto"/>
        <w:rPr>
          <w:rFonts w:ascii="宋体" w:hAnsi="宋体"/>
          <w:sz w:val="24"/>
        </w:rPr>
      </w:pPr>
    </w:p>
    <w:p w14:paraId="1A6998E8">
      <w:pPr>
        <w:jc w:val="center"/>
        <w:rPr>
          <w:rFonts w:ascii="方正小标宋简体" w:hAnsi="方正小标宋简体" w:eastAsia="方正小标宋简体" w:cs="方正小标宋简体"/>
          <w:b/>
          <w:bCs/>
          <w:kern w:val="44"/>
          <w:sz w:val="72"/>
          <w:szCs w:val="72"/>
        </w:rPr>
      </w:pPr>
      <w:r>
        <w:rPr>
          <w:rFonts w:hint="eastAsia" w:ascii="方正小标宋简体" w:hAnsi="方正小标宋简体" w:eastAsia="方正小标宋简体" w:cs="方正小标宋简体"/>
          <w:b/>
          <w:bCs/>
          <w:kern w:val="44"/>
          <w:sz w:val="72"/>
          <w:szCs w:val="72"/>
        </w:rPr>
        <w:t>资 产 出 租 合 同</w:t>
      </w:r>
    </w:p>
    <w:p w14:paraId="601BAB2F">
      <w:pPr>
        <w:spacing w:line="360" w:lineRule="auto"/>
        <w:rPr>
          <w:rFonts w:ascii="黑体" w:hAnsi="宋体" w:eastAsia="黑体"/>
          <w:b/>
          <w:bCs/>
          <w:sz w:val="32"/>
          <w:szCs w:val="48"/>
        </w:rPr>
      </w:pPr>
    </w:p>
    <w:p w14:paraId="20831F0A">
      <w:pPr>
        <w:spacing w:line="360" w:lineRule="auto"/>
        <w:rPr>
          <w:rFonts w:ascii="黑体" w:hAnsi="宋体" w:eastAsia="黑体"/>
          <w:b/>
          <w:bCs/>
          <w:sz w:val="32"/>
          <w:szCs w:val="48"/>
        </w:rPr>
      </w:pPr>
    </w:p>
    <w:p w14:paraId="614A8ADD">
      <w:pPr>
        <w:spacing w:line="360" w:lineRule="auto"/>
        <w:rPr>
          <w:rFonts w:ascii="宋体" w:hAnsi="宋体"/>
          <w:sz w:val="24"/>
        </w:rPr>
      </w:pPr>
    </w:p>
    <w:p w14:paraId="03BE1E06">
      <w:pPr>
        <w:spacing w:line="360" w:lineRule="auto"/>
        <w:jc w:val="center"/>
        <w:rPr>
          <w:rFonts w:ascii="宋体" w:hAnsi="宋体"/>
          <w:sz w:val="24"/>
        </w:rPr>
      </w:pPr>
    </w:p>
    <w:p w14:paraId="2F928893">
      <w:pPr>
        <w:spacing w:line="360" w:lineRule="auto"/>
        <w:jc w:val="center"/>
        <w:rPr>
          <w:rFonts w:ascii="宋体" w:hAnsi="宋体"/>
          <w:sz w:val="24"/>
        </w:rPr>
      </w:pPr>
    </w:p>
    <w:p w14:paraId="238E3251">
      <w:pPr>
        <w:spacing w:line="360" w:lineRule="auto"/>
        <w:ind w:firstLine="1280" w:firstLineChars="400"/>
        <w:rPr>
          <w:rFonts w:ascii="宋体" w:hAnsi="宋体"/>
          <w:sz w:val="32"/>
          <w:szCs w:val="32"/>
        </w:rPr>
      </w:pPr>
      <w:r>
        <w:rPr>
          <w:rFonts w:hint="eastAsia" w:ascii="宋体" w:hAnsi="宋体"/>
          <w:sz w:val="32"/>
          <w:szCs w:val="32"/>
        </w:rPr>
        <w:t>标的名称：</w:t>
      </w:r>
      <w:r>
        <w:rPr>
          <w:rFonts w:hint="eastAsia" w:ascii="仿宋_GB2312" w:hAnsi="仿宋_GB2312" w:eastAsia="仿宋_GB2312" w:cs="仿宋_GB2312"/>
          <w:kern w:val="0"/>
          <w:sz w:val="32"/>
          <w:szCs w:val="32"/>
          <w:u w:val="single"/>
          <w:lang w:bidi="zh-TW"/>
        </w:rPr>
        <w:t xml:space="preserve">                          </w:t>
      </w:r>
    </w:p>
    <w:p w14:paraId="212D08C5">
      <w:pPr>
        <w:spacing w:line="360" w:lineRule="auto"/>
        <w:jc w:val="center"/>
        <w:rPr>
          <w:rFonts w:ascii="宋体" w:hAnsi="宋体"/>
          <w:sz w:val="24"/>
        </w:rPr>
      </w:pPr>
    </w:p>
    <w:p w14:paraId="57B64202">
      <w:pPr>
        <w:spacing w:line="360" w:lineRule="auto"/>
        <w:jc w:val="center"/>
        <w:rPr>
          <w:rFonts w:ascii="宋体" w:hAnsi="宋体"/>
          <w:sz w:val="24"/>
        </w:rPr>
      </w:pPr>
    </w:p>
    <w:p w14:paraId="060F3BC5">
      <w:pPr>
        <w:spacing w:line="360" w:lineRule="auto"/>
        <w:jc w:val="center"/>
        <w:rPr>
          <w:rFonts w:ascii="宋体" w:hAnsi="宋体"/>
          <w:sz w:val="24"/>
        </w:rPr>
      </w:pPr>
    </w:p>
    <w:p w14:paraId="11749D68">
      <w:pPr>
        <w:spacing w:line="360" w:lineRule="auto"/>
        <w:jc w:val="center"/>
        <w:rPr>
          <w:rFonts w:ascii="宋体" w:hAnsi="宋体"/>
          <w:sz w:val="24"/>
        </w:rPr>
      </w:pPr>
    </w:p>
    <w:p w14:paraId="41C75208">
      <w:pPr>
        <w:spacing w:line="360" w:lineRule="auto"/>
        <w:jc w:val="center"/>
        <w:rPr>
          <w:rFonts w:ascii="宋体" w:hAnsi="宋体"/>
          <w:sz w:val="24"/>
        </w:rPr>
      </w:pPr>
    </w:p>
    <w:p w14:paraId="16A2E00A">
      <w:pPr>
        <w:spacing w:line="360" w:lineRule="auto"/>
        <w:jc w:val="center"/>
        <w:rPr>
          <w:rFonts w:ascii="宋体" w:hAnsi="宋体"/>
          <w:sz w:val="24"/>
        </w:rPr>
      </w:pPr>
    </w:p>
    <w:p w14:paraId="01799F07">
      <w:pPr>
        <w:spacing w:line="360" w:lineRule="auto"/>
        <w:jc w:val="center"/>
        <w:rPr>
          <w:rFonts w:ascii="宋体" w:hAnsi="宋体"/>
          <w:sz w:val="24"/>
        </w:rPr>
      </w:pPr>
    </w:p>
    <w:p w14:paraId="31D67648">
      <w:pPr>
        <w:spacing w:line="360" w:lineRule="auto"/>
        <w:jc w:val="center"/>
        <w:rPr>
          <w:rFonts w:ascii="宋体" w:hAnsi="宋体"/>
          <w:sz w:val="24"/>
        </w:rPr>
      </w:pPr>
    </w:p>
    <w:p w14:paraId="0B847E7A">
      <w:pPr>
        <w:spacing w:line="360" w:lineRule="auto"/>
        <w:rPr>
          <w:rFonts w:ascii="宋体" w:hAnsi="宋体"/>
          <w:sz w:val="24"/>
        </w:rPr>
      </w:pPr>
    </w:p>
    <w:p w14:paraId="74F4D6E3">
      <w:pPr>
        <w:spacing w:line="360" w:lineRule="auto"/>
        <w:jc w:val="center"/>
        <w:rPr>
          <w:rFonts w:ascii="宋体" w:hAnsi="宋体"/>
          <w:b/>
          <w:bCs/>
          <w:sz w:val="36"/>
          <w:szCs w:val="36"/>
        </w:rPr>
      </w:pPr>
      <w:r>
        <w:rPr>
          <w:rFonts w:hint="eastAsia" w:ascii="宋体" w:hAnsi="宋体"/>
          <w:b/>
          <w:bCs/>
          <w:sz w:val="36"/>
          <w:szCs w:val="36"/>
        </w:rPr>
        <w:t>202*年   月   日</w:t>
      </w:r>
    </w:p>
    <w:p w14:paraId="6FE4AC60">
      <w:pPr>
        <w:rPr>
          <w:rFonts w:ascii="宋体" w:hAnsi="宋体"/>
          <w:b/>
          <w:bCs/>
          <w:sz w:val="24"/>
        </w:rPr>
        <w:sectPr>
          <w:headerReference r:id="rId3" w:type="default"/>
          <w:pgSz w:w="11906" w:h="16838"/>
          <w:pgMar w:top="1440" w:right="1800" w:bottom="1440" w:left="1800" w:header="851" w:footer="992" w:gutter="0"/>
          <w:cols w:space="720" w:num="1"/>
          <w:docGrid w:type="lines" w:linePitch="312" w:charSpace="0"/>
        </w:sectPr>
      </w:pPr>
    </w:p>
    <w:p w14:paraId="32B5C24E">
      <w:pPr>
        <w:pStyle w:val="7"/>
        <w:ind w:firstLine="0"/>
        <w:jc w:val="center"/>
        <w:rPr>
          <w:rFonts w:ascii="新宋体" w:hAnsi="新宋体" w:eastAsia="新宋体" w:cs="新宋体"/>
          <w:b/>
          <w:bCs/>
          <w:kern w:val="0"/>
          <w:sz w:val="44"/>
          <w:szCs w:val="44"/>
          <w:lang w:bidi="zh-TW"/>
        </w:rPr>
      </w:pPr>
      <w:bookmarkStart w:id="0" w:name="_Toc182109505"/>
      <w:bookmarkStart w:id="1" w:name="_Toc182122614"/>
      <w:bookmarkStart w:id="2" w:name="_Toc182108321"/>
      <w:bookmarkStart w:id="3" w:name="_Toc184620322"/>
      <w:bookmarkStart w:id="4" w:name="_Toc182112543"/>
    </w:p>
    <w:p w14:paraId="01EC05AD">
      <w:pPr>
        <w:pStyle w:val="7"/>
        <w:ind w:firstLine="0"/>
        <w:jc w:val="center"/>
        <w:rPr>
          <w:rFonts w:ascii="新宋体" w:hAnsi="新宋体" w:eastAsia="新宋体" w:cs="新宋体"/>
          <w:b/>
          <w:bCs/>
          <w:kern w:val="0"/>
          <w:sz w:val="44"/>
          <w:szCs w:val="44"/>
          <w:lang w:bidi="zh-TW"/>
        </w:rPr>
      </w:pPr>
    </w:p>
    <w:p w14:paraId="56A2816F">
      <w:pPr>
        <w:pStyle w:val="7"/>
        <w:ind w:firstLine="0"/>
        <w:jc w:val="center"/>
        <w:rPr>
          <w:rFonts w:ascii="新宋体" w:hAnsi="新宋体" w:eastAsia="新宋体" w:cs="新宋体"/>
          <w:b/>
          <w:bCs/>
          <w:kern w:val="0"/>
          <w:sz w:val="44"/>
          <w:szCs w:val="44"/>
          <w:lang w:bidi="zh-TW"/>
        </w:rPr>
      </w:pPr>
    </w:p>
    <w:p w14:paraId="334C5306">
      <w:pPr>
        <w:pStyle w:val="7"/>
        <w:ind w:firstLine="0"/>
        <w:jc w:val="center"/>
        <w:rPr>
          <w:rFonts w:ascii="新宋体" w:hAnsi="新宋体" w:eastAsia="新宋体" w:cs="新宋体"/>
          <w:b/>
          <w:bCs/>
          <w:kern w:val="0"/>
          <w:sz w:val="44"/>
          <w:szCs w:val="44"/>
          <w:lang w:bidi="zh-TW"/>
        </w:rPr>
      </w:pPr>
      <w:r>
        <w:rPr>
          <w:rFonts w:hint="eastAsia" w:ascii="新宋体" w:hAnsi="新宋体" w:eastAsia="新宋体" w:cs="新宋体"/>
          <w:b/>
          <w:bCs/>
          <w:kern w:val="0"/>
          <w:sz w:val="44"/>
          <w:szCs w:val="44"/>
          <w:lang w:bidi="zh-TW"/>
        </w:rPr>
        <w:t>本合同涉及的当事人</w:t>
      </w:r>
      <w:bookmarkEnd w:id="0"/>
      <w:bookmarkEnd w:id="1"/>
      <w:bookmarkEnd w:id="2"/>
      <w:bookmarkEnd w:id="3"/>
      <w:bookmarkEnd w:id="4"/>
    </w:p>
    <w:p w14:paraId="1219D38A">
      <w:pPr>
        <w:pStyle w:val="7"/>
        <w:ind w:firstLine="0"/>
        <w:jc w:val="center"/>
        <w:rPr>
          <w:rFonts w:ascii="新宋体" w:hAnsi="新宋体" w:eastAsia="新宋体" w:cs="新宋体"/>
          <w:b/>
          <w:bCs/>
          <w:kern w:val="0"/>
          <w:sz w:val="44"/>
          <w:szCs w:val="44"/>
          <w:lang w:bidi="zh-TW"/>
        </w:rPr>
      </w:pPr>
    </w:p>
    <w:p w14:paraId="03D51E1E">
      <w:pPr>
        <w:pStyle w:val="7"/>
        <w:ind w:firstLine="0"/>
        <w:jc w:val="center"/>
        <w:rPr>
          <w:rFonts w:ascii="新宋体" w:hAnsi="新宋体" w:eastAsia="新宋体" w:cs="新宋体"/>
          <w:b/>
          <w:bCs/>
          <w:kern w:val="0"/>
          <w:sz w:val="44"/>
          <w:szCs w:val="44"/>
          <w:lang w:bidi="zh-TW"/>
        </w:rPr>
      </w:pPr>
    </w:p>
    <w:p w14:paraId="21F1153B">
      <w:pPr>
        <w:snapToGrid w:val="0"/>
        <w:spacing w:line="480" w:lineRule="auto"/>
        <w:rPr>
          <w:rFonts w:ascii="宋体" w:hAnsi="宋体"/>
          <w:b/>
          <w:sz w:val="24"/>
        </w:rPr>
      </w:pPr>
      <w:r>
        <w:rPr>
          <w:rFonts w:hint="eastAsia" w:ascii="宋体" w:hAnsi="宋体"/>
          <w:b/>
          <w:sz w:val="24"/>
        </w:rPr>
        <w:t xml:space="preserve">   </w:t>
      </w:r>
    </w:p>
    <w:p w14:paraId="38C831FB">
      <w:pPr>
        <w:snapToGrid w:val="0"/>
        <w:spacing w:line="480" w:lineRule="auto"/>
        <w:ind w:firstLine="480" w:firstLineChars="200"/>
        <w:rPr>
          <w:rFonts w:ascii="仿宋_GB2312" w:hAnsi="仿宋_GB2312" w:eastAsia="仿宋_GB2312" w:cs="仿宋_GB2312"/>
          <w:kern w:val="0"/>
          <w:sz w:val="32"/>
          <w:szCs w:val="32"/>
          <w:lang w:val="zh-TW" w:eastAsia="zh-TW" w:bidi="zh-TW"/>
        </w:rPr>
      </w:pPr>
      <w:r>
        <w:rPr>
          <w:rFonts w:hint="eastAsia" w:ascii="宋体" w:hAnsi="宋体"/>
          <w:sz w:val="24"/>
        </w:rPr>
        <w:t xml:space="preserve"> </w:t>
      </w:r>
      <w:r>
        <w:rPr>
          <w:rFonts w:hint="eastAsia" w:ascii="仿宋_GB2312" w:hAnsi="仿宋_GB2312" w:eastAsia="仿宋_GB2312" w:cs="仿宋_GB2312"/>
          <w:kern w:val="0"/>
          <w:sz w:val="32"/>
          <w:szCs w:val="32"/>
          <w:lang w:val="zh-TW" w:eastAsia="zh-TW" w:bidi="zh-TW"/>
        </w:rPr>
        <w:t>甲方（</w:t>
      </w:r>
      <w:r>
        <w:rPr>
          <w:rFonts w:hint="eastAsia" w:ascii="仿宋_GB2312" w:hAnsi="仿宋_GB2312" w:eastAsia="仿宋_GB2312" w:cs="仿宋_GB2312"/>
          <w:kern w:val="0"/>
          <w:sz w:val="32"/>
          <w:szCs w:val="32"/>
          <w:lang w:val="zh-TW" w:bidi="zh-TW"/>
        </w:rPr>
        <w:t>出租方</w:t>
      </w:r>
      <w:r>
        <w:rPr>
          <w:rFonts w:hint="eastAsia" w:ascii="仿宋_GB2312" w:hAnsi="仿宋_GB2312" w:eastAsia="仿宋_GB2312" w:cs="仿宋_GB2312"/>
          <w:kern w:val="0"/>
          <w:sz w:val="32"/>
          <w:szCs w:val="32"/>
          <w:lang w:val="zh-TW" w:eastAsia="zh-TW" w:bidi="zh-TW"/>
        </w:rPr>
        <w:t>）：</w:t>
      </w:r>
      <w:r>
        <w:rPr>
          <w:rFonts w:hint="eastAsia" w:ascii="仿宋_GB2312" w:hAnsi="仿宋_GB2312" w:eastAsia="仿宋_GB2312" w:cs="仿宋_GB2312"/>
          <w:kern w:val="0"/>
          <w:sz w:val="32"/>
          <w:szCs w:val="32"/>
          <w:lang w:bidi="zh-TW"/>
        </w:rPr>
        <w:t>西北政法大学</w:t>
      </w:r>
      <w:r>
        <w:rPr>
          <w:rFonts w:hint="eastAsia" w:ascii="仿宋_GB2312" w:hAnsi="仿宋_GB2312" w:eastAsia="仿宋_GB2312" w:cs="仿宋_GB2312"/>
          <w:kern w:val="0"/>
          <w:sz w:val="32"/>
          <w:szCs w:val="32"/>
          <w:lang w:val="zh-TW" w:eastAsia="zh-TW" w:bidi="zh-TW"/>
        </w:rPr>
        <w:t xml:space="preserve">                                   </w:t>
      </w:r>
    </w:p>
    <w:p w14:paraId="733230D7">
      <w:pPr>
        <w:tabs>
          <w:tab w:val="left" w:pos="4680"/>
          <w:tab w:val="left" w:pos="4860"/>
        </w:tabs>
        <w:snapToGrid w:val="0"/>
        <w:spacing w:line="480" w:lineRule="auto"/>
        <w:ind w:firstLine="584"/>
        <w:rPr>
          <w:rFonts w:ascii="仿宋_GB2312" w:hAnsi="仿宋_GB2312" w:eastAsia="仿宋_GB2312" w:cs="仿宋_GB2312"/>
          <w:kern w:val="0"/>
          <w:sz w:val="32"/>
          <w:szCs w:val="32"/>
          <w:lang w:val="zh-TW" w:eastAsia="zh-TW" w:bidi="zh-TW"/>
        </w:rPr>
      </w:pPr>
      <w:r>
        <w:rPr>
          <w:rFonts w:hint="eastAsia" w:ascii="仿宋_GB2312" w:hAnsi="仿宋_GB2312" w:eastAsia="仿宋_GB2312" w:cs="仿宋_GB2312"/>
          <w:kern w:val="0"/>
          <w:sz w:val="32"/>
          <w:szCs w:val="32"/>
          <w:lang w:val="zh-TW" w:eastAsia="zh-TW" w:bidi="zh-TW"/>
        </w:rPr>
        <w:t>注册地址（住所）：</w:t>
      </w:r>
      <w:r>
        <w:rPr>
          <w:rFonts w:hint="eastAsia" w:ascii="仿宋_GB2312" w:hAnsi="仿宋_GB2312" w:eastAsia="仿宋_GB2312" w:cs="仿宋_GB2312"/>
          <w:kern w:val="0"/>
          <w:sz w:val="32"/>
          <w:szCs w:val="32"/>
          <w:lang w:bidi="zh-TW"/>
        </w:rPr>
        <w:t>西安市雁塔区长安南路300号</w:t>
      </w:r>
      <w:r>
        <w:rPr>
          <w:rFonts w:hint="eastAsia" w:ascii="仿宋_GB2312" w:hAnsi="仿宋_GB2312" w:eastAsia="仿宋_GB2312" w:cs="仿宋_GB2312"/>
          <w:kern w:val="0"/>
          <w:sz w:val="32"/>
          <w:szCs w:val="32"/>
          <w:lang w:val="zh-TW" w:eastAsia="zh-TW" w:bidi="zh-TW"/>
        </w:rPr>
        <w:t xml:space="preserve">                          </w:t>
      </w:r>
    </w:p>
    <w:p w14:paraId="67888CF5">
      <w:pPr>
        <w:snapToGrid w:val="0"/>
        <w:spacing w:line="480" w:lineRule="auto"/>
        <w:ind w:firstLine="584"/>
        <w:rPr>
          <w:rFonts w:ascii="仿宋_GB2312" w:hAnsi="仿宋_GB2312" w:eastAsia="仿宋_GB2312" w:cs="仿宋_GB2312"/>
          <w:kern w:val="0"/>
          <w:sz w:val="32"/>
          <w:szCs w:val="32"/>
          <w:lang w:val="zh-TW" w:eastAsia="zh-TW" w:bidi="zh-TW"/>
        </w:rPr>
      </w:pPr>
      <w:r>
        <w:rPr>
          <w:rFonts w:hint="eastAsia" w:ascii="仿宋_GB2312" w:hAnsi="仿宋_GB2312" w:eastAsia="仿宋_GB2312" w:cs="仿宋_GB2312"/>
          <w:kern w:val="0"/>
          <w:sz w:val="32"/>
          <w:szCs w:val="32"/>
          <w:lang w:val="zh-TW" w:eastAsia="zh-TW" w:bidi="zh-TW"/>
        </w:rPr>
        <w:t xml:space="preserve">法定代表人： </w:t>
      </w:r>
      <w:r>
        <w:rPr>
          <w:rFonts w:hint="eastAsia" w:ascii="仿宋_GB2312" w:hAnsi="仿宋_GB2312" w:eastAsia="仿宋_GB2312" w:cs="仿宋_GB2312"/>
          <w:kern w:val="0"/>
          <w:sz w:val="32"/>
          <w:szCs w:val="32"/>
          <w:lang w:bidi="zh-TW"/>
        </w:rPr>
        <w:t>范九利</w:t>
      </w:r>
      <w:r>
        <w:rPr>
          <w:rFonts w:hint="eastAsia" w:ascii="仿宋_GB2312" w:hAnsi="仿宋_GB2312" w:eastAsia="仿宋_GB2312" w:cs="仿宋_GB2312"/>
          <w:kern w:val="0"/>
          <w:sz w:val="32"/>
          <w:szCs w:val="32"/>
          <w:lang w:val="zh-TW" w:eastAsia="zh-TW" w:bidi="zh-TW"/>
        </w:rPr>
        <w:t xml:space="preserve">       </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电话：</w:t>
      </w:r>
      <w:r>
        <w:rPr>
          <w:rFonts w:hint="eastAsia" w:ascii="仿宋_GB2312" w:hAnsi="仿宋_GB2312" w:eastAsia="仿宋_GB2312" w:cs="仿宋_GB2312"/>
          <w:kern w:val="0"/>
          <w:sz w:val="32"/>
          <w:szCs w:val="32"/>
          <w:lang w:bidi="zh-TW"/>
        </w:rPr>
        <w:t>029-88182240</w:t>
      </w:r>
      <w:r>
        <w:rPr>
          <w:rFonts w:hint="eastAsia" w:ascii="仿宋_GB2312" w:hAnsi="仿宋_GB2312" w:eastAsia="仿宋_GB2312" w:cs="仿宋_GB2312"/>
          <w:kern w:val="0"/>
          <w:sz w:val="32"/>
          <w:szCs w:val="32"/>
          <w:lang w:val="zh-TW" w:eastAsia="zh-TW" w:bidi="zh-TW"/>
        </w:rPr>
        <w:t xml:space="preserve">                                         </w:t>
      </w:r>
    </w:p>
    <w:p w14:paraId="7C947FB9">
      <w:pPr>
        <w:snapToGrid w:val="0"/>
        <w:spacing w:line="480" w:lineRule="auto"/>
        <w:ind w:firstLine="584"/>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开户银行：</w:t>
      </w:r>
      <w:r>
        <w:rPr>
          <w:rFonts w:hint="eastAsia" w:ascii="仿宋_GB2312" w:hAnsi="仿宋_GB2312" w:eastAsia="仿宋_GB2312" w:cs="仿宋_GB2312"/>
          <w:kern w:val="0"/>
          <w:sz w:val="32"/>
          <w:szCs w:val="32"/>
          <w:lang w:bidi="zh-TW"/>
        </w:rPr>
        <w:t>中行西安南郊支行</w:t>
      </w:r>
      <w:r>
        <w:rPr>
          <w:rFonts w:hint="eastAsia" w:ascii="仿宋_GB2312" w:hAnsi="仿宋_GB2312" w:eastAsia="仿宋_GB2312" w:cs="仿宋_GB2312"/>
          <w:kern w:val="0"/>
          <w:sz w:val="32"/>
          <w:szCs w:val="32"/>
          <w:lang w:val="zh-TW" w:eastAsia="zh-TW" w:bidi="zh-TW"/>
        </w:rPr>
        <w:t xml:space="preserve"> </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账号：</w:t>
      </w:r>
      <w:r>
        <w:rPr>
          <w:rFonts w:hint="eastAsia" w:ascii="仿宋_GB2312" w:hAnsi="仿宋_GB2312" w:eastAsia="仿宋_GB2312" w:cs="仿宋_GB2312"/>
          <w:kern w:val="0"/>
          <w:sz w:val="32"/>
          <w:szCs w:val="32"/>
          <w:lang w:bidi="zh-TW"/>
        </w:rPr>
        <w:t>102006570787</w:t>
      </w:r>
    </w:p>
    <w:p w14:paraId="67F4CB8C">
      <w:pPr>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bidi="zh-TW"/>
        </w:rPr>
        <w:t>联系人：                    电话：</w:t>
      </w:r>
    </w:p>
    <w:p w14:paraId="3531B711">
      <w:pPr>
        <w:tabs>
          <w:tab w:val="left" w:pos="4680"/>
          <w:tab w:val="left" w:pos="4860"/>
        </w:tabs>
        <w:snapToGrid w:val="0"/>
        <w:spacing w:line="480" w:lineRule="auto"/>
        <w:ind w:firstLine="584"/>
        <w:rPr>
          <w:rFonts w:ascii="仿宋_GB2312" w:hAnsi="仿宋_GB2312" w:eastAsia="仿宋_GB2312" w:cs="仿宋_GB2312"/>
          <w:kern w:val="0"/>
          <w:sz w:val="32"/>
          <w:szCs w:val="32"/>
          <w:lang w:val="zh-TW" w:eastAsia="zh-TW" w:bidi="zh-TW"/>
        </w:rPr>
      </w:pPr>
    </w:p>
    <w:p w14:paraId="4F48CEA8">
      <w:pPr>
        <w:tabs>
          <w:tab w:val="left" w:pos="4680"/>
          <w:tab w:val="left" w:pos="4860"/>
        </w:tabs>
        <w:snapToGrid w:val="0"/>
        <w:spacing w:line="480" w:lineRule="auto"/>
        <w:ind w:firstLine="584"/>
        <w:rPr>
          <w:rFonts w:ascii="宋体" w:hAnsi="宋体"/>
          <w:sz w:val="24"/>
        </w:rPr>
      </w:pPr>
      <w:r>
        <w:rPr>
          <w:rFonts w:hint="eastAsia" w:ascii="仿宋_GB2312" w:hAnsi="仿宋_GB2312" w:eastAsia="仿宋_GB2312" w:cs="仿宋_GB2312"/>
          <w:kern w:val="0"/>
          <w:sz w:val="32"/>
          <w:szCs w:val="32"/>
          <w:lang w:val="zh-TW" w:eastAsia="zh-TW" w:bidi="zh-TW"/>
        </w:rPr>
        <w:t>乙方（</w:t>
      </w:r>
      <w:r>
        <w:rPr>
          <w:rFonts w:hint="eastAsia" w:ascii="仿宋_GB2312" w:hAnsi="仿宋_GB2312" w:eastAsia="仿宋_GB2312" w:cs="仿宋_GB2312"/>
          <w:kern w:val="0"/>
          <w:sz w:val="32"/>
          <w:szCs w:val="32"/>
          <w:lang w:val="zh-TW" w:bidi="zh-TW"/>
        </w:rPr>
        <w:t>承租方</w:t>
      </w:r>
      <w:r>
        <w:rPr>
          <w:rFonts w:hint="eastAsia" w:ascii="仿宋_GB2312" w:hAnsi="仿宋_GB2312" w:eastAsia="仿宋_GB2312" w:cs="仿宋_GB2312"/>
          <w:kern w:val="0"/>
          <w:sz w:val="32"/>
          <w:szCs w:val="32"/>
          <w:lang w:val="zh-TW" w:eastAsia="zh-TW" w:bidi="zh-TW"/>
        </w:rPr>
        <w:t>）：</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 xml:space="preserve"> </w:t>
      </w:r>
      <w:r>
        <w:rPr>
          <w:rFonts w:hint="eastAsia" w:ascii="宋体" w:hAnsi="宋体"/>
          <w:sz w:val="24"/>
        </w:rPr>
        <w:t xml:space="preserve">                                 </w:t>
      </w:r>
    </w:p>
    <w:p w14:paraId="372CE7D0">
      <w:pPr>
        <w:tabs>
          <w:tab w:val="left" w:pos="4680"/>
          <w:tab w:val="left" w:pos="4860"/>
        </w:tabs>
        <w:snapToGrid w:val="0"/>
        <w:spacing w:line="480" w:lineRule="auto"/>
        <w:ind w:left="3518" w:leftChars="304" w:hanging="2880" w:hangingChars="9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注册地址（住所）：</w:t>
      </w:r>
      <w:r>
        <w:rPr>
          <w:rFonts w:hint="eastAsia" w:ascii="仿宋_GB2312" w:hAnsi="仿宋_GB2312" w:eastAsia="仿宋_GB2312" w:cs="仿宋_GB2312"/>
          <w:kern w:val="0"/>
          <w:sz w:val="32"/>
          <w:szCs w:val="32"/>
          <w:lang w:bidi="zh-TW"/>
        </w:rPr>
        <w:t xml:space="preserve"> </w:t>
      </w:r>
    </w:p>
    <w:p w14:paraId="50C5D5CD">
      <w:pPr>
        <w:tabs>
          <w:tab w:val="left" w:pos="4680"/>
          <w:tab w:val="left" w:pos="4860"/>
        </w:tabs>
        <w:snapToGrid w:val="0"/>
        <w:spacing w:line="480" w:lineRule="auto"/>
        <w:ind w:firstLine="584"/>
        <w:rPr>
          <w:rFonts w:ascii="仿宋_GB2312" w:hAnsi="仿宋_GB2312" w:eastAsia="仿宋_GB2312" w:cs="仿宋_GB2312"/>
          <w:kern w:val="0"/>
          <w:sz w:val="32"/>
          <w:szCs w:val="32"/>
          <w:lang w:val="zh-TW" w:eastAsia="zh-TW" w:bidi="zh-TW"/>
        </w:rPr>
      </w:pPr>
      <w:r>
        <w:rPr>
          <w:rFonts w:hint="eastAsia" w:ascii="仿宋_GB2312" w:hAnsi="仿宋_GB2312" w:eastAsia="仿宋_GB2312" w:cs="仿宋_GB2312"/>
          <w:kern w:val="0"/>
          <w:sz w:val="32"/>
          <w:szCs w:val="32"/>
          <w:lang w:val="zh-TW" w:eastAsia="zh-TW" w:bidi="zh-TW"/>
        </w:rPr>
        <w:t>法定代表人：</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 xml:space="preserve">         </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电话：</w:t>
      </w:r>
      <w:r>
        <w:rPr>
          <w:rFonts w:hint="eastAsia" w:ascii="仿宋_GB2312" w:hAnsi="仿宋_GB2312" w:eastAsia="仿宋_GB2312" w:cs="仿宋_GB2312"/>
          <w:kern w:val="0"/>
          <w:sz w:val="32"/>
          <w:szCs w:val="32"/>
          <w:lang w:bidi="zh-TW"/>
        </w:rPr>
        <w:t xml:space="preserve"> </w:t>
      </w:r>
    </w:p>
    <w:p w14:paraId="50A7FF00">
      <w:pPr>
        <w:tabs>
          <w:tab w:val="left" w:pos="4680"/>
          <w:tab w:val="left" w:pos="4860"/>
        </w:tabs>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开户银行：</w:t>
      </w:r>
      <w:r>
        <w:rPr>
          <w:rFonts w:hint="eastAsia" w:ascii="仿宋_GB2312" w:hAnsi="仿宋_GB2312" w:eastAsia="仿宋_GB2312" w:cs="仿宋_GB2312"/>
          <w:kern w:val="0"/>
          <w:sz w:val="32"/>
          <w:szCs w:val="32"/>
          <w:lang w:bidi="zh-TW"/>
        </w:rPr>
        <w:t xml:space="preserve">  </w:t>
      </w:r>
    </w:p>
    <w:p w14:paraId="57EE818F">
      <w:pPr>
        <w:tabs>
          <w:tab w:val="left" w:pos="4680"/>
          <w:tab w:val="left" w:pos="4860"/>
        </w:tabs>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val="zh-TW" w:eastAsia="zh-TW" w:bidi="zh-TW"/>
        </w:rPr>
        <w:t>账</w:t>
      </w:r>
      <w:r>
        <w:rPr>
          <w:rFonts w:hint="eastAsia" w:ascii="仿宋_GB2312" w:hAnsi="仿宋_GB2312" w:eastAsia="仿宋_GB2312" w:cs="仿宋_GB2312"/>
          <w:kern w:val="0"/>
          <w:sz w:val="32"/>
          <w:szCs w:val="32"/>
          <w:lang w:bidi="zh-TW"/>
        </w:rPr>
        <w:t xml:space="preserve">    </w:t>
      </w:r>
      <w:r>
        <w:rPr>
          <w:rFonts w:hint="eastAsia" w:ascii="仿宋_GB2312" w:hAnsi="仿宋_GB2312" w:eastAsia="仿宋_GB2312" w:cs="仿宋_GB2312"/>
          <w:kern w:val="0"/>
          <w:sz w:val="32"/>
          <w:szCs w:val="32"/>
          <w:lang w:val="zh-TW" w:eastAsia="zh-TW" w:bidi="zh-TW"/>
        </w:rPr>
        <w:t>号</w:t>
      </w:r>
      <w:r>
        <w:rPr>
          <w:rFonts w:hint="eastAsia" w:ascii="仿宋_GB2312" w:hAnsi="仿宋_GB2312" w:eastAsia="仿宋_GB2312" w:cs="仿宋_GB2312"/>
          <w:kern w:val="0"/>
          <w:sz w:val="32"/>
          <w:szCs w:val="32"/>
          <w:lang w:val="zh-TW" w:bidi="zh-TW"/>
        </w:rPr>
        <w:t>：</w:t>
      </w:r>
      <w:r>
        <w:rPr>
          <w:rFonts w:hint="eastAsia" w:ascii="仿宋_GB2312" w:hAnsi="仿宋_GB2312" w:eastAsia="仿宋_GB2312" w:cs="仿宋_GB2312"/>
          <w:kern w:val="0"/>
          <w:sz w:val="32"/>
          <w:szCs w:val="32"/>
          <w:lang w:bidi="zh-TW"/>
        </w:rPr>
        <w:t xml:space="preserve"> </w:t>
      </w:r>
    </w:p>
    <w:p w14:paraId="73ED2DA0">
      <w:pPr>
        <w:tabs>
          <w:tab w:val="left" w:pos="4680"/>
          <w:tab w:val="left" w:pos="4860"/>
        </w:tabs>
        <w:snapToGrid w:val="0"/>
        <w:spacing w:line="480" w:lineRule="auto"/>
        <w:ind w:firstLine="640" w:firstLineChars="200"/>
        <w:rPr>
          <w:rFonts w:ascii="仿宋_GB2312" w:hAnsi="仿宋_GB2312" w:eastAsia="仿宋_GB2312" w:cs="仿宋_GB2312"/>
          <w:kern w:val="0"/>
          <w:sz w:val="32"/>
          <w:szCs w:val="32"/>
          <w:lang w:bidi="zh-TW"/>
        </w:rPr>
      </w:pPr>
      <w:r>
        <w:rPr>
          <w:rFonts w:hint="eastAsia" w:ascii="仿宋_GB2312" w:hAnsi="仿宋_GB2312" w:eastAsia="仿宋_GB2312" w:cs="仿宋_GB2312"/>
          <w:kern w:val="0"/>
          <w:sz w:val="32"/>
          <w:szCs w:val="32"/>
          <w:lang w:bidi="zh-TW"/>
        </w:rPr>
        <w:t>联系人：                电话：</w:t>
      </w:r>
    </w:p>
    <w:p w14:paraId="6CFC5BCB">
      <w:pPr>
        <w:pStyle w:val="18"/>
        <w:spacing w:line="520" w:lineRule="exact"/>
        <w:ind w:firstLine="0"/>
        <w:rPr>
          <w:sz w:val="24"/>
          <w:lang w:val="en-US" w:eastAsia="zh-CN"/>
        </w:rPr>
      </w:pPr>
    </w:p>
    <w:p w14:paraId="285A6093">
      <w:pPr>
        <w:pStyle w:val="18"/>
        <w:spacing w:line="520" w:lineRule="exact"/>
        <w:ind w:firstLine="0"/>
        <w:rPr>
          <w:sz w:val="24"/>
          <w:lang w:val="en-US" w:eastAsia="zh-CN"/>
        </w:rPr>
      </w:pPr>
    </w:p>
    <w:p w14:paraId="2E37BB8C">
      <w:pPr>
        <w:pStyle w:val="18"/>
        <w:spacing w:line="520" w:lineRule="exact"/>
        <w:ind w:firstLine="640" w:firstLineChars="200"/>
        <w:rPr>
          <w:bCs/>
          <w:sz w:val="24"/>
        </w:rPr>
      </w:pPr>
      <w:r>
        <w:rPr>
          <w:rFonts w:hint="eastAsia" w:ascii="仿宋_GB2312" w:hAnsi="仿宋_GB2312" w:eastAsia="仿宋_GB2312" w:cs="仿宋_GB2312"/>
          <w:sz w:val="32"/>
          <w:szCs w:val="32"/>
        </w:rPr>
        <w:t>根据《中华人民共和国民法典》和《企业国有资产交易监督管理办法》等相关法律、法规、规章的规定，甲乙双方遵循自愿、公平、诚实信用的原则，经友好协商，就甲方向乙方</w:t>
      </w:r>
      <w:r>
        <w:rPr>
          <w:rFonts w:hint="eastAsia" w:ascii="仿宋_GB2312" w:hAnsi="仿宋_GB2312" w:eastAsia="仿宋_GB2312" w:cs="仿宋_GB2312"/>
          <w:sz w:val="32"/>
          <w:szCs w:val="32"/>
          <w:lang w:eastAsia="zh-CN"/>
        </w:rPr>
        <w:t>出租</w:t>
      </w:r>
      <w:r>
        <w:rPr>
          <w:rFonts w:hint="eastAsia" w:ascii="仿宋_GB2312" w:hAnsi="仿宋_GB2312" w:eastAsia="仿宋_GB2312" w:cs="仿宋_GB2312"/>
          <w:sz w:val="32"/>
          <w:szCs w:val="32"/>
        </w:rPr>
        <w:t>其拥有的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相关事</w:t>
      </w:r>
      <w:r>
        <w:rPr>
          <w:rFonts w:hint="eastAsia" w:ascii="仿宋_GB2312" w:hAnsi="仿宋_GB2312" w:eastAsia="仿宋_GB2312" w:cs="仿宋_GB2312"/>
          <w:sz w:val="32"/>
          <w:szCs w:val="32"/>
          <w:lang w:val="en-US" w:eastAsia="zh-CN"/>
        </w:rPr>
        <w:t>宜</w:t>
      </w:r>
      <w:r>
        <w:rPr>
          <w:rFonts w:hint="eastAsia" w:ascii="仿宋_GB2312" w:hAnsi="仿宋_GB2312" w:eastAsia="仿宋_GB2312" w:cs="仿宋_GB2312"/>
          <w:sz w:val="32"/>
          <w:szCs w:val="32"/>
        </w:rPr>
        <w:t>达成一致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签订本</w:t>
      </w:r>
      <w:r>
        <w:rPr>
          <w:rFonts w:hint="eastAsia" w:ascii="仿宋_GB2312" w:hAnsi="仿宋_GB2312" w:eastAsia="仿宋_GB2312" w:cs="仿宋_GB2312"/>
          <w:sz w:val="32"/>
          <w:szCs w:val="32"/>
          <w:lang w:val="en-US" w:eastAsia="zh-CN"/>
        </w:rPr>
        <w:t>资产出租</w:t>
      </w:r>
      <w:r>
        <w:rPr>
          <w:rFonts w:hint="eastAsia" w:ascii="仿宋_GB2312" w:hAnsi="仿宋_GB2312" w:eastAsia="仿宋_GB2312" w:cs="仿宋_GB2312"/>
          <w:sz w:val="32"/>
          <w:szCs w:val="32"/>
        </w:rPr>
        <w:t>合同（以下简称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本合同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bidi="en-US"/>
        </w:rPr>
        <w:t>）：</w:t>
      </w:r>
    </w:p>
    <w:p w14:paraId="2B22C307">
      <w:pPr>
        <w:pStyle w:val="18"/>
        <w:spacing w:line="52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lang w:val="en-US" w:eastAsia="zh-CN"/>
        </w:rPr>
        <w:t>一、交易</w:t>
      </w:r>
      <w:r>
        <w:rPr>
          <w:rFonts w:hint="eastAsia" w:ascii="黑体" w:hAnsi="黑体" w:eastAsia="黑体" w:cs="黑体"/>
          <w:sz w:val="32"/>
          <w:szCs w:val="32"/>
        </w:rPr>
        <w:t>标的</w:t>
      </w:r>
    </w:p>
    <w:p w14:paraId="6FA09CDC">
      <w:pPr>
        <w:widowControl/>
        <w:jc w:val="left"/>
        <w:rPr>
          <w:rFonts w:ascii="仿宋_GB2312" w:hAnsi="仿宋_GB2312" w:eastAsia="仿宋_GB2312" w:cs="仿宋_GB2312"/>
          <w:sz w:val="32"/>
          <w:szCs w:val="32"/>
          <w:lang w:val="zh-TW" w:bidi="zh-TW"/>
        </w:rPr>
      </w:pPr>
      <w:r>
        <w:rPr>
          <w:rFonts w:hint="eastAsia" w:ascii="仿宋_GB2312" w:hAnsi="仿宋_GB2312" w:eastAsia="仿宋_GB2312" w:cs="仿宋_GB2312"/>
          <w:sz w:val="32"/>
          <w:szCs w:val="32"/>
          <w:lang w:val="zh-TW" w:bidi="zh-TW"/>
        </w:rPr>
        <w:t>（</w:t>
      </w:r>
      <w:r>
        <w:rPr>
          <w:rFonts w:hint="eastAsia" w:ascii="仿宋_GB2312" w:hAnsi="仿宋_GB2312" w:eastAsia="仿宋_GB2312" w:cs="仿宋_GB2312"/>
          <w:sz w:val="32"/>
          <w:szCs w:val="32"/>
          <w:lang w:bidi="zh-TW"/>
        </w:rPr>
        <w:t>一</w:t>
      </w:r>
      <w:r>
        <w:rPr>
          <w:rFonts w:hint="eastAsia" w:ascii="仿宋_GB2312" w:hAnsi="仿宋_GB2312" w:eastAsia="仿宋_GB2312" w:cs="仿宋_GB2312"/>
          <w:sz w:val="32"/>
          <w:szCs w:val="32"/>
          <w:lang w:val="zh-TW" w:bidi="zh-TW"/>
        </w:rPr>
        <w:t>）</w:t>
      </w:r>
      <w:r>
        <w:rPr>
          <w:rFonts w:hint="eastAsia" w:ascii="仿宋_GB2312" w:hAnsi="仿宋_GB2312" w:eastAsia="仿宋_GB2312" w:cs="仿宋_GB2312"/>
          <w:sz w:val="32"/>
          <w:szCs w:val="32"/>
          <w:lang w:val="zh-TW" w:eastAsia="zh-TW" w:bidi="zh-TW"/>
        </w:rPr>
        <w:t>本合同</w:t>
      </w:r>
      <w:r>
        <w:rPr>
          <w:rFonts w:hint="eastAsia" w:ascii="仿宋_GB2312" w:hAnsi="仿宋_GB2312" w:eastAsia="仿宋_GB2312" w:cs="仿宋_GB2312"/>
          <w:sz w:val="32"/>
          <w:szCs w:val="32"/>
          <w:lang w:val="zh-TW" w:bidi="zh-TW"/>
        </w:rPr>
        <w:t>出租</w:t>
      </w:r>
      <w:r>
        <w:rPr>
          <w:rFonts w:hint="eastAsia" w:ascii="仿宋_GB2312" w:hAnsi="仿宋_GB2312" w:eastAsia="仿宋_GB2312" w:cs="仿宋_GB2312"/>
          <w:sz w:val="32"/>
          <w:szCs w:val="32"/>
          <w:lang w:val="zh-TW" w:eastAsia="zh-TW" w:bidi="zh-TW"/>
        </w:rPr>
        <w:t>标的为</w:t>
      </w:r>
      <w:r>
        <w:rPr>
          <w:rFonts w:hint="eastAsia" w:ascii="仿宋_GB2312" w:hAnsi="仿宋_GB2312" w:eastAsia="仿宋_GB2312" w:cs="仿宋_GB2312"/>
          <w:sz w:val="32"/>
          <w:szCs w:val="32"/>
          <w:lang w:bidi="zh-TW"/>
        </w:rPr>
        <w:t>的位于西安市西长安街558号</w:t>
      </w:r>
      <w:r>
        <w:rPr>
          <w:rFonts w:hint="eastAsia" w:ascii="黑体" w:hAnsi="黑体" w:eastAsia="黑体" w:cs="黑体"/>
          <w:sz w:val="32"/>
          <w:szCs w:val="32"/>
          <w:lang w:bidi="zh-TW"/>
        </w:rPr>
        <w:t>/</w:t>
      </w:r>
      <w:r>
        <w:rPr>
          <w:rFonts w:hint="eastAsia" w:ascii="仿宋_GB2312" w:hAnsi="仿宋_GB2312" w:eastAsia="仿宋_GB2312" w:cs="仿宋_GB2312"/>
          <w:sz w:val="32"/>
          <w:szCs w:val="32"/>
          <w:lang w:bidi="zh-TW"/>
        </w:rPr>
        <w:t>长安南路300号西北政法大学长安校区</w:t>
      </w:r>
      <w:r>
        <w:rPr>
          <w:rFonts w:hint="eastAsia" w:ascii="黑体" w:hAnsi="黑体" w:eastAsia="黑体" w:cs="黑体"/>
          <w:sz w:val="32"/>
          <w:szCs w:val="32"/>
          <w:lang w:bidi="zh-TW"/>
        </w:rPr>
        <w:t>/</w:t>
      </w:r>
      <w:r>
        <w:rPr>
          <w:rFonts w:hint="eastAsia" w:ascii="仿宋_GB2312" w:hAnsi="仿宋_GB2312" w:eastAsia="仿宋_GB2312" w:cs="仿宋_GB2312"/>
          <w:sz w:val="32"/>
          <w:szCs w:val="32"/>
          <w:lang w:bidi="zh-TW"/>
        </w:rPr>
        <w:t>雁塔校区内</w:t>
      </w:r>
      <w:r>
        <w:rPr>
          <w:rFonts w:hint="eastAsia" w:ascii="仿宋_GB2312" w:hAnsi="仿宋_GB2312" w:eastAsia="仿宋_GB2312" w:cs="仿宋_GB2312"/>
          <w:b/>
          <w:bCs/>
          <w:sz w:val="32"/>
          <w:szCs w:val="32"/>
          <w:u w:val="single"/>
          <w:lang w:bidi="zh-TW"/>
        </w:rPr>
        <w:t xml:space="preserve">                            </w:t>
      </w:r>
      <w:r>
        <w:rPr>
          <w:rFonts w:hint="eastAsia" w:ascii="仿宋_GB2312" w:hAnsi="仿宋_GB2312" w:eastAsia="仿宋_GB2312" w:cs="仿宋_GB2312"/>
          <w:sz w:val="32"/>
          <w:szCs w:val="32"/>
          <w:lang w:bidi="zh-TW"/>
        </w:rPr>
        <w:t>，建筑面积为*平方米。物业条件：水、电、暖气齐全，双方签订《房屋交付清单》（附后）。</w:t>
      </w:r>
    </w:p>
    <w:p w14:paraId="7FAEA266">
      <w:pPr>
        <w:ind w:firstLine="640" w:firstLineChars="200"/>
        <w:jc w:val="left"/>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（二）本次出租的房产，从未用于抵押、担保，不影响正常出租使用。同时该房产未被法院、行政机关查封、管控，产权清晰无纠纷。</w:t>
      </w:r>
    </w:p>
    <w:p w14:paraId="69991445">
      <w:pPr>
        <w:snapToGrid w:val="0"/>
        <w:spacing w:line="520" w:lineRule="exact"/>
        <w:ind w:left="319" w:leftChars="152" w:firstLine="320" w:firstLineChars="100"/>
        <w:rPr>
          <w:rFonts w:ascii="仿宋_GB2312" w:hAnsi="仿宋_GB2312" w:eastAsia="仿宋_GB2312" w:cs="仿宋_GB2312"/>
          <w:sz w:val="32"/>
          <w:szCs w:val="32"/>
        </w:rPr>
      </w:pPr>
      <w:r>
        <w:rPr>
          <w:rFonts w:hint="eastAsia" w:ascii="仿宋_GB2312" w:hAnsi="仿宋_GB2312" w:eastAsia="仿宋_GB2312" w:cs="仿宋_GB2312"/>
          <w:sz w:val="32"/>
          <w:szCs w:val="32"/>
        </w:rPr>
        <w:t>（三）经营范围：乙方的经营范围为</w:t>
      </w:r>
      <w:r>
        <w:rPr>
          <w:rFonts w:hint="eastAsia" w:hAnsi="仿宋" w:eastAsia="仿宋" w:cstheme="minorHAnsi"/>
          <w:sz w:val="28"/>
          <w:szCs w:val="28"/>
          <w:u w:val="single"/>
        </w:rPr>
        <w:t xml:space="preserve">              </w:t>
      </w:r>
      <w:r>
        <w:rPr>
          <w:rFonts w:hint="eastAsia" w:ascii="仿宋_GB2312" w:hAnsi="仿宋_GB2312" w:eastAsia="仿宋_GB2312" w:cs="仿宋_GB2312"/>
          <w:sz w:val="32"/>
          <w:szCs w:val="32"/>
        </w:rPr>
        <w:t>。</w:t>
      </w:r>
    </w:p>
    <w:p w14:paraId="253FDF0E">
      <w:pPr>
        <w:snapToGrid w:val="0"/>
        <w:spacing w:line="520" w:lineRule="exact"/>
        <w:ind w:left="319" w:leftChars="152" w:firstLine="320" w:firstLineChars="100"/>
        <w:rPr>
          <w:rFonts w:ascii="黑体" w:hAnsi="黑体" w:eastAsia="黑体" w:cs="黑体"/>
          <w:sz w:val="32"/>
          <w:szCs w:val="32"/>
        </w:rPr>
      </w:pPr>
      <w:r>
        <w:rPr>
          <w:rFonts w:hint="eastAsia" w:ascii="黑体" w:hAnsi="黑体" w:eastAsia="黑体" w:cs="黑体"/>
          <w:sz w:val="32"/>
          <w:szCs w:val="32"/>
        </w:rPr>
        <w:t>二、租赁期限</w:t>
      </w:r>
    </w:p>
    <w:p w14:paraId="1E5CD868">
      <w:pPr>
        <w:spacing w:line="560" w:lineRule="exact"/>
        <w:ind w:right="-359" w:rightChars="-171"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租赁期限：*年，自*年*月*日起至*年*月*日止。</w:t>
      </w:r>
    </w:p>
    <w:p w14:paraId="6AE6C9B9">
      <w:pPr>
        <w:spacing w:line="560" w:lineRule="exact"/>
        <w:ind w:right="-359" w:rightChars="-171" w:firstLine="640" w:firstLineChars="200"/>
        <w:rPr>
          <w:rFonts w:ascii="黑体" w:hAnsi="黑体" w:eastAsia="黑体" w:cs="黑体"/>
          <w:sz w:val="32"/>
          <w:szCs w:val="32"/>
        </w:rPr>
      </w:pPr>
      <w:r>
        <w:rPr>
          <w:rFonts w:hint="eastAsia" w:ascii="黑体" w:hAnsi="黑体" w:eastAsia="黑体" w:cs="黑体"/>
          <w:sz w:val="32"/>
          <w:szCs w:val="32"/>
        </w:rPr>
        <w:t>三、付款方式</w:t>
      </w:r>
    </w:p>
    <w:p w14:paraId="71B7F0C2">
      <w:pPr>
        <w:spacing w:line="560" w:lineRule="exact"/>
        <w:ind w:firstLine="640" w:firstLineChars="200"/>
        <w:rPr>
          <w:rFonts w:ascii="仿宋_GB2312" w:eastAsia="仿宋_GB2312"/>
          <w:sz w:val="32"/>
          <w:szCs w:val="32"/>
        </w:rPr>
      </w:pPr>
      <w:r>
        <w:rPr>
          <w:rFonts w:hint="eastAsia" w:ascii="仿宋_GB2312" w:eastAsia="仿宋_GB2312"/>
          <w:sz w:val="32"/>
          <w:szCs w:val="32"/>
        </w:rPr>
        <w:t>1.第一年租金乙方交至陕西省公共资源交易中心指定帐户，由公共资源交易中心结转至学校账户。</w:t>
      </w:r>
    </w:p>
    <w:p w14:paraId="2A825447">
      <w:pPr>
        <w:snapToGrid w:val="0"/>
        <w:spacing w:line="520" w:lineRule="exact"/>
        <w:ind w:firstLine="640" w:firstLineChars="200"/>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账户名称：陕西省公共资源交易中心（资金性质：交易保证金专户）</w:t>
      </w:r>
    </w:p>
    <w:p w14:paraId="3C141ECF">
      <w:pPr>
        <w:snapToGrid w:val="0"/>
        <w:spacing w:line="520" w:lineRule="exact"/>
        <w:ind w:firstLine="640" w:firstLineChars="200"/>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开户行：长安银行股份有限公司长安北路小微支行</w:t>
      </w:r>
    </w:p>
    <w:p w14:paraId="333883CB">
      <w:pPr>
        <w:spacing w:line="560" w:lineRule="exact"/>
        <w:ind w:firstLine="640" w:firstLineChars="200"/>
        <w:rPr>
          <w:rFonts w:hint="eastAsia" w:ascii="仿宋_GB2312" w:eastAsia="仿宋_GB2312"/>
          <w:sz w:val="32"/>
          <w:szCs w:val="32"/>
        </w:rPr>
      </w:pPr>
      <w:r>
        <w:rPr>
          <w:rFonts w:hint="eastAsia" w:ascii="仿宋_GB2312" w:hAnsi="仿宋_GB2312" w:eastAsia="仿宋_GB2312" w:cs="仿宋_GB2312"/>
          <w:sz w:val="32"/>
          <w:szCs w:val="32"/>
          <w:lang w:bidi="zh-TW"/>
        </w:rPr>
        <w:t>账  号：8069  1050  1428  8888  88</w:t>
      </w:r>
    </w:p>
    <w:p w14:paraId="5B26168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2.第二年起全部租金交至学校指定账户</w:t>
      </w:r>
    </w:p>
    <w:p w14:paraId="5240F79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开户名：西北政法大学</w:t>
      </w:r>
    </w:p>
    <w:p w14:paraId="250118A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开户行：中行西安南郊支行  </w:t>
      </w:r>
    </w:p>
    <w:p w14:paraId="2A5041F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账  号：102006570787    </w:t>
      </w:r>
    </w:p>
    <w:p w14:paraId="6C6B3B4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3.租金按年度一次性支付，乙方须于每租赁年度到期提前一个月，足额缴纳下一年度租金。</w:t>
      </w:r>
    </w:p>
    <w:p w14:paraId="47454F48">
      <w:pPr>
        <w:snapToGrid w:val="0"/>
        <w:spacing w:line="52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四、履约保证金</w:t>
      </w:r>
    </w:p>
    <w:p w14:paraId="48FF5D5D">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乙方应当征信良好，无不良资产记录，有能力履行合同义务。乙方应当于本合同签订之日起【5】日内向甲方交纳租赁期间租赁物履约</w:t>
      </w:r>
      <w:r>
        <w:rPr>
          <w:rFonts w:hint="eastAsia" w:ascii="仿宋_GB2312" w:hAnsi="等线" w:eastAsia="仿宋_GB2312" w:cs="Times New Roman"/>
          <w:sz w:val="32"/>
          <w:szCs w:val="32"/>
        </w:rPr>
        <w:t>保证金人民币（大写）*万*仟*佰*拾*元整，（小写）￥*****元。合同期满，如乙方无违约责任，甲方应无息将履约保证金无息退还给乙方。甲方有权从保证金中抵扣相应金额，剩余部分无息退还，不足部分有权向乙方追偿。如乙方逾期未缴纳履约保证金的，甲方有权解除协议。</w:t>
      </w:r>
    </w:p>
    <w:p w14:paraId="7FA4C7D0">
      <w:pPr>
        <w:pStyle w:val="18"/>
        <w:spacing w:line="560" w:lineRule="exact"/>
        <w:ind w:firstLine="640" w:firstLineChars="200"/>
        <w:rPr>
          <w:rFonts w:ascii="仿宋_GB2312" w:hAnsi="仿宋_GB2312" w:eastAsia="黑体" w:cs="仿宋_GB2312"/>
          <w:sz w:val="32"/>
          <w:szCs w:val="32"/>
          <w:lang w:val="en-US" w:eastAsia="zh-CN"/>
        </w:rPr>
      </w:pPr>
      <w:r>
        <w:rPr>
          <w:rFonts w:hint="eastAsia" w:ascii="黑体" w:hAnsi="黑体" w:eastAsia="黑体" w:cs="黑体"/>
          <w:sz w:val="32"/>
          <w:szCs w:val="32"/>
          <w:lang w:val="en-US" w:eastAsia="zh-CN"/>
        </w:rPr>
        <w:t>五、双方权利义务</w:t>
      </w:r>
    </w:p>
    <w:p w14:paraId="6F92703E">
      <w:pPr>
        <w:spacing w:line="560" w:lineRule="exact"/>
        <w:ind w:firstLine="640" w:firstLineChars="200"/>
        <w:jc w:val="left"/>
        <w:rPr>
          <w:rFonts w:ascii="仿宋_GB2312" w:hAnsi="仿宋_GB2312" w:eastAsia="仿宋_GB2312" w:cs="仿宋_GB2312"/>
          <w:spacing w:val="-16"/>
          <w:sz w:val="32"/>
          <w:szCs w:val="32"/>
          <w:lang w:bidi="ar"/>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16"/>
          <w:sz w:val="32"/>
          <w:szCs w:val="32"/>
          <w:lang w:bidi="ar"/>
        </w:rPr>
        <w:t>甲方的权利与义务</w:t>
      </w:r>
    </w:p>
    <w:p w14:paraId="07D0845B">
      <w:pPr>
        <w:spacing w:line="560" w:lineRule="exact"/>
        <w:ind w:firstLine="640" w:firstLineChars="200"/>
        <w:rPr>
          <w:rFonts w:hint="eastAsia" w:ascii="仿宋_GB2312" w:hAnsi="等线" w:eastAsia="仿宋_GB2312" w:cs="Times New Roman"/>
          <w:sz w:val="32"/>
          <w:szCs w:val="32"/>
          <w:lang w:val="en-US" w:eastAsia="zh-CN"/>
        </w:rPr>
      </w:pPr>
      <w:r>
        <w:rPr>
          <w:rFonts w:hint="eastAsia" w:ascii="仿宋_GB2312" w:hAnsi="等线" w:eastAsia="仿宋_GB2312" w:cs="Times New Roman"/>
          <w:sz w:val="32"/>
          <w:szCs w:val="32"/>
          <w:lang w:val="en-US" w:eastAsia="zh-CN"/>
        </w:rPr>
        <w:t>1.出租的房屋符合国家和地方政府有关房屋出租的规定、要求；</w:t>
      </w:r>
    </w:p>
    <w:p w14:paraId="65724BA8">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2.甲方按照交易价款、付款方式与期限收取房屋租金并开具发票。</w:t>
      </w:r>
    </w:p>
    <w:p w14:paraId="6CCD5980">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3.甲方定期对乙方经营管理情况及房屋使用情况进行监督检查，对乙方存在的问题提出整改要求，未按要求整改的甲方有权收回房屋。</w:t>
      </w:r>
    </w:p>
    <w:p w14:paraId="1CEF6BCD">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4.甲方有权要求乙方上报经营相关报表，有权对乙方的经营活动是否合法、是否遵守相关纪律和有关规章制度等进行监督。</w:t>
      </w:r>
    </w:p>
    <w:p w14:paraId="28076B52">
      <w:pPr>
        <w:spacing w:line="560" w:lineRule="exact"/>
        <w:ind w:firstLine="640" w:firstLineChars="200"/>
        <w:rPr>
          <w:rFonts w:hint="eastAsia" w:ascii="仿宋_GB2312" w:hAnsi="等线" w:eastAsia="仿宋_GB2312" w:cs="Times New Roman"/>
          <w:sz w:val="32"/>
          <w:szCs w:val="32"/>
        </w:rPr>
      </w:pPr>
      <w:r>
        <w:rPr>
          <w:rFonts w:hint="eastAsia" w:ascii="仿宋_GB2312" w:hAnsi="等线" w:eastAsia="仿宋_GB2312" w:cs="Times New Roman"/>
          <w:sz w:val="32"/>
          <w:szCs w:val="32"/>
        </w:rPr>
        <w:t>5.甲方不干涉乙方的合法商业经营活动。</w:t>
      </w:r>
    </w:p>
    <w:p w14:paraId="3FACE615">
      <w:pPr>
        <w:pStyle w:val="18"/>
        <w:spacing w:line="560" w:lineRule="exact"/>
        <w:ind w:firstLine="640" w:firstLineChars="200"/>
        <w:rPr>
          <w:rFonts w:ascii="仿宋_GB2312" w:hAnsi="仿宋_GB2312" w:eastAsia="仿宋_GB2312" w:cs="仿宋_GB2312"/>
          <w:spacing w:val="-16"/>
          <w:sz w:val="32"/>
          <w:szCs w:val="32"/>
          <w:lang w:val="en-US" w:eastAsia="zh-CN" w:bidi="ar"/>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pacing w:val="-16"/>
          <w:sz w:val="32"/>
          <w:szCs w:val="32"/>
          <w:lang w:val="en-US" w:eastAsia="zh-CN" w:bidi="ar"/>
        </w:rPr>
        <w:t>乙方的权利与义务</w:t>
      </w:r>
    </w:p>
    <w:p w14:paraId="67037D6E">
      <w:pPr>
        <w:pStyle w:val="18"/>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1.乙方负责办理各类经营手续，甲方予以配合、协助。本合同项下资产出租过程中所产生的服务佣金及相关税费，由乙方承担。</w:t>
      </w:r>
    </w:p>
    <w:p w14:paraId="0BEFE1F2">
      <w:pPr>
        <w:spacing w:line="560" w:lineRule="exact"/>
        <w:ind w:right="-359" w:rightChars="-171"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2.乙方在承租期间，不得将租赁房屋转租、转借，不得用于对外投资、入股、合资或抵押等，不得私自改变房屋用途，不得擅自与第三方联营。</w:t>
      </w:r>
    </w:p>
    <w:p w14:paraId="0CBBB37E">
      <w:pPr>
        <w:pStyle w:val="18"/>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3.乙方须按合同约定向甲方支付房屋租金。</w:t>
      </w:r>
    </w:p>
    <w:p w14:paraId="17E1B38E">
      <w:pPr>
        <w:pStyle w:val="18"/>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4.乙方积极接受和配合甲方的监督管理。</w:t>
      </w:r>
    </w:p>
    <w:p w14:paraId="48B20CB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5.乙方应当爱护和合理使用所承租的房屋及附属设施。不得擅自拆改、扩建和增加。确需对房屋进行装修或增扩设备的。应征得甲方的书面同意，费用由乙方自理。</w:t>
      </w:r>
    </w:p>
    <w:p w14:paraId="719E1F1E">
      <w:pPr>
        <w:widowControl/>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6.乙方须按学校相关收费标准及时缴纳水、电、供暖、物业管理、垃圾清运等相关费用。</w:t>
      </w:r>
    </w:p>
    <w:p w14:paraId="5A1CB7E9">
      <w:pPr>
        <w:widowControl/>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7.乙方不得在承租房屋内存储易燃易爆等危险物品，不得利用承租房屋进行其他违法活动。乙方如有违法行为，应当承担法律责任，同时按照合同*年租赁期限内全部应付租金总额【20】%向对方一次性支付违约金，并赔偿甲方因此造成的损失。</w:t>
      </w:r>
    </w:p>
    <w:p w14:paraId="1AC842C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8.乙方应当对经营场所依法履行消防安全职责，保证消防安全。在租赁场地内按规定配备有效消防器材；从业人员必须掌握防火、灭火基本知识，谨防安全事故发生。</w:t>
      </w:r>
    </w:p>
    <w:p w14:paraId="0FB6C40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9.乙方承租期内，对房屋或与房屋相关的财产安全负责。</w:t>
      </w:r>
    </w:p>
    <w:p w14:paraId="718B246B">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10.乙方因不当使用本租赁房屋及其附属设施设备，造成人身伤害和经济损失的，由乙方承担全部责任。</w:t>
      </w:r>
    </w:p>
    <w:p w14:paraId="020121F3">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11. 乙方应确保经营所需的资质合法，从业人员具备相应从业资格，做到持证上岗、合法经营，不从事、不参与任何与经营无关的事项，维护学校正常的教学、生活秩序。</w:t>
      </w:r>
    </w:p>
    <w:p w14:paraId="4B394AB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12.经营范围、活动必须合规合法，确保不影响正常校园生活。不得经营中小学校外培训机构、补习机构、餐饮、洗浴、KTV、游戏机房等与学校主责主业、后勤保障等无关的经营业态。不得经营易造成周边环境污染或影响师生正常学习生活、身心健康的项目，如歌舞厅、电游厅、网吧、机械加工、焊接、涉及易燃易爆物品或产生噪声和污染性废气、废水等项目。不得利用西北政法大学校名开设任何关联的经营或培训项目。禁止经营国家法律、法规规定不允许经营的业态。校内商超应按照公益性原则，严管食品安全、营养健康和价格监管，原则上售卖食品价格应明显低于市场同类价格。不得售卖高盐、高糖及高脂食品和酒精饮料;不得对含糖饮料、调味面制品等零食进行广告宣传。</w:t>
      </w:r>
    </w:p>
    <w:p w14:paraId="6FF3192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13.乙方须保持租赁场地及门前5米范围内清洁，维护经营场地周边公用设施。</w:t>
      </w:r>
    </w:p>
    <w:p w14:paraId="5C189E0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14.乙方须进店规范经营，禁止店外占道、乱摆乱放；标牌须经甲方审批，货品合规摆放；未经同意不得使用高音设备，闭店时间不晚于学生熄灯时间，不得扰民。</w:t>
      </w:r>
    </w:p>
    <w:p w14:paraId="3773102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15.乙方须秉持诚信原则开展经营活动，自觉遵守学校各项相关管理制度，主动配合学校的各项管理工作，服从学校的统一安排与调度，将服务师生作为经营核心，全力保障师生的合理需求与权益。</w:t>
      </w:r>
    </w:p>
    <w:p w14:paraId="543F054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16.合同到期，如乙方不再续租，乙方应在结清全部款项后将所租房屋按承租前状态交还甲方，如产生相关费用由乙方承担。未按要求搬离的，房屋内资产由甲方将处置，产生的相关费用由履约保证金支出。</w:t>
      </w:r>
    </w:p>
    <w:p w14:paraId="3034667E">
      <w:pPr>
        <w:spacing w:line="560" w:lineRule="exact"/>
        <w:ind w:firstLine="640" w:firstLineChars="200"/>
        <w:jc w:val="left"/>
        <w:rPr>
          <w:rFonts w:ascii="黑体" w:hAnsi="黑体" w:eastAsia="黑体" w:cs="黑体"/>
          <w:sz w:val="32"/>
          <w:szCs w:val="32"/>
          <w:lang w:bidi="zh-TW"/>
        </w:rPr>
      </w:pPr>
      <w:r>
        <w:rPr>
          <w:rFonts w:hint="eastAsia" w:ascii="黑体" w:hAnsi="黑体" w:eastAsia="黑体" w:cs="黑体"/>
          <w:sz w:val="32"/>
          <w:szCs w:val="32"/>
          <w:lang w:bidi="zh-TW"/>
        </w:rPr>
        <w:t>六、房屋修缮责任</w:t>
      </w:r>
    </w:p>
    <w:p w14:paraId="654CB40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在租赁期内，如果房屋出现主体结构损坏等房屋自然损坏且影响乙方经营或安全的，由甲方负责维修，除此之外的房屋其他损坏（如：墙面、门、窗、水、电等），由乙方自行负责维修并承担相应责任，甲方不予补偿。</w:t>
      </w:r>
    </w:p>
    <w:p w14:paraId="4AA382F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（二）因乙方过错造成房屋及其附属物损坏的，由乙方负责修复或赔偿。</w:t>
      </w:r>
    </w:p>
    <w:p w14:paraId="7DE3A1A1">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（三）因不可抗力原因使房屋及其附属物损坏的，乙方不承担赔偿责任，保险理赔金、拆迁补偿金等应当归甲方所有。</w:t>
      </w:r>
    </w:p>
    <w:p w14:paraId="20BC9946">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（四）甲、乙双方正常的房屋检查和维修，相互应给予协助。</w:t>
      </w:r>
    </w:p>
    <w:p w14:paraId="7E50C899">
      <w:pPr>
        <w:spacing w:line="480" w:lineRule="auto"/>
        <w:ind w:right="-359" w:rightChars="-171" w:firstLine="640" w:firstLineChars="200"/>
        <w:jc w:val="left"/>
        <w:rPr>
          <w:rFonts w:ascii="黑体" w:hAnsi="黑体" w:eastAsia="黑体" w:cs="黑体"/>
          <w:sz w:val="32"/>
          <w:szCs w:val="32"/>
        </w:rPr>
      </w:pPr>
      <w:r>
        <w:rPr>
          <w:rFonts w:hint="eastAsia" w:ascii="黑体" w:hAnsi="黑体" w:eastAsia="黑体" w:cs="黑体"/>
          <w:sz w:val="32"/>
          <w:szCs w:val="32"/>
        </w:rPr>
        <w:t>七、违约责任</w:t>
      </w:r>
    </w:p>
    <w:p w14:paraId="7C2CA24B">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（一）本合同生效后，任何一方无故提出终止合同的或因一方违约导致守约方提出解除合同的，违约方应按照合同*年租赁期限内全部应付租金总额3%向守约方一次性支付违约金，给对方造成损失的，还应承担 赔偿责任。</w:t>
      </w:r>
    </w:p>
    <w:p w14:paraId="575B1C3E">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乙方未按合同约定期限支付租金的，应向甲方支付逾期付款违约金。每逾期一日，乙方应按照延迟支付期间应付价款的5%向甲方支付；逾期超过30日，甲方有权解除合同并收回出租资产，不予退还履约保证金。因此给甲方造成损失的，乙方应当承担全部赔偿责任（包括直接损失与间接损失、律师费、诉讼费、公告费等） 。</w:t>
      </w:r>
    </w:p>
    <w:p w14:paraId="5D57603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（三）甲方如未能按期移交出租资产超过7日，应按乙方已付租金的5%向乙方支付违约金，非因甲方原因造成的除外。</w:t>
      </w:r>
    </w:p>
    <w:p w14:paraId="2E69FFB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四）租赁期间，因不可归责于双方的客观原因确需变更或解除租赁合同的，双方当事人应提前协商。因当事人一方提前解除租赁合同使另一方遭受损失的，除依本合同约定可免除责任外，应当由责任方承担违约责任并负责赔偿。</w:t>
      </w:r>
    </w:p>
    <w:p w14:paraId="3383E07B">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（五）乙方因服务质量、服务态度等因素导致师生员工不满，经查证属实的，每次扣除履约保证金的1%并在甲方指定期限内整改。</w:t>
      </w:r>
    </w:p>
    <w:p w14:paraId="65478FB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（六）乙方擅自转租、分租的，甲方有权解除合同，乙方应按合同租金总额的【20%】支付惩罚性违约金，甲方有权解除合同，乙方应承担因此给甲方造成的全部损失。</w:t>
      </w:r>
    </w:p>
    <w:p w14:paraId="0561792A">
      <w:pPr>
        <w:spacing w:line="480" w:lineRule="auto"/>
        <w:ind w:left="-38" w:leftChars="-18" w:right="-359" w:rightChars="-171" w:firstLine="400" w:firstLineChars="125"/>
        <w:jc w:val="left"/>
        <w:rPr>
          <w:rFonts w:ascii="黑体" w:hAnsi="黑体" w:eastAsia="黑体" w:cs="黑体"/>
          <w:sz w:val="32"/>
          <w:szCs w:val="32"/>
        </w:rPr>
      </w:pPr>
      <w:r>
        <w:rPr>
          <w:rFonts w:hint="eastAsia" w:ascii="黑体" w:hAnsi="黑体" w:eastAsia="黑体" w:cs="黑体"/>
          <w:sz w:val="32"/>
          <w:szCs w:val="32"/>
        </w:rPr>
        <w:t>八、合同的变更、解除和终止</w:t>
      </w:r>
    </w:p>
    <w:p w14:paraId="0771E24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（一）当事人双方协商一致，可以变更或解除本合同。</w:t>
      </w:r>
    </w:p>
    <w:p w14:paraId="3702831A">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（二）租赁期间，发生下列情况之一时，甲方可以提前解除本合同。</w:t>
      </w:r>
    </w:p>
    <w:p w14:paraId="766C56F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1．不可抗力或不可归责于双方的原因致使本合同的目的无法实现的；</w:t>
      </w:r>
    </w:p>
    <w:p w14:paraId="3550DF0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2．甲方的上级单位要求收回的；</w:t>
      </w:r>
    </w:p>
    <w:p w14:paraId="7A88EA47">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3．本合同另有约定</w:t>
      </w:r>
      <w:bookmarkStart w:id="5" w:name="bookmark46"/>
      <w:bookmarkEnd w:id="5"/>
      <w:r>
        <w:rPr>
          <w:rFonts w:hint="eastAsia" w:ascii="仿宋_GB2312" w:hAnsi="等线" w:eastAsia="仿宋_GB2312" w:cs="Times New Roman"/>
          <w:kern w:val="2"/>
          <w:sz w:val="32"/>
          <w:szCs w:val="32"/>
          <w:lang w:val="en-US" w:eastAsia="zh-CN" w:bidi="ar-SA"/>
        </w:rPr>
        <w:t>的。</w:t>
      </w:r>
    </w:p>
    <w:p w14:paraId="7190A4B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因前述事项甲方终止合同的，甲方应明确告知乙方，甲方、乙方互不承担违约赔偿责任。</w:t>
      </w:r>
    </w:p>
    <w:p w14:paraId="550C1BA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（三）租赁期间，乙方发生下列情况之一时，甲方可以解除本合同，履约保证金不予退还。因此给甲方造成损失的，乙方应当承担全部赔偿责任。</w:t>
      </w:r>
    </w:p>
    <w:p w14:paraId="4C8DDCC3">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（1）拖欠租金或水费、电费等相关费用达 30 日以上的； </w:t>
      </w:r>
    </w:p>
    <w:p w14:paraId="795B11C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（2）利用房屋从事非法活动的； </w:t>
      </w:r>
    </w:p>
    <w:p w14:paraId="35C629E8">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（3）未取得政府相关部门许可证违法经营的； </w:t>
      </w:r>
    </w:p>
    <w:p w14:paraId="0E4273B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（4）乙方在承租房屋内存储易燃易爆等危险物品； </w:t>
      </w:r>
    </w:p>
    <w:p w14:paraId="265CE894">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（5）乙方将租赁房屋整体转租的； </w:t>
      </w:r>
    </w:p>
    <w:p w14:paraId="55532DBC">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（6）乙方对外转租、分租的； </w:t>
      </w:r>
    </w:p>
    <w:p w14:paraId="730E796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 xml:space="preserve">（7）乙方未按照甲方要求及期限进行整改的； </w:t>
      </w:r>
    </w:p>
    <w:p w14:paraId="0D5585F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（8）其他违法违约行为给社会或甲方造成不良影响的。</w:t>
      </w:r>
    </w:p>
    <w:p w14:paraId="2502460E">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甲方根据上述情形提前解除合同时，应提前7天以书面形式通知乙方。租金照实计算至合同解除之日。乙方须及时腾退并交回房产，否则应承担本合同约定和国家法律法规规定的违约责任。</w:t>
      </w:r>
    </w:p>
    <w:p w14:paraId="63464653">
      <w:pPr>
        <w:pStyle w:val="18"/>
        <w:tabs>
          <w:tab w:val="left" w:pos="1246"/>
        </w:tabs>
        <w:spacing w:line="520" w:lineRule="exact"/>
        <w:ind w:firstLine="640" w:firstLineChars="200"/>
        <w:jc w:val="left"/>
        <w:rPr>
          <w:rFonts w:ascii="黑体" w:hAnsi="黑体" w:eastAsia="黑体" w:cs="黑体"/>
          <w:sz w:val="32"/>
          <w:szCs w:val="32"/>
        </w:rPr>
      </w:pPr>
      <w:bookmarkStart w:id="6" w:name="bookmark44"/>
      <w:bookmarkEnd w:id="6"/>
      <w:bookmarkStart w:id="7" w:name="bookmark43"/>
      <w:bookmarkEnd w:id="7"/>
      <w:r>
        <w:rPr>
          <w:rFonts w:hint="eastAsia" w:ascii="黑体" w:hAnsi="黑体" w:eastAsia="黑体" w:cs="黑体"/>
          <w:sz w:val="32"/>
          <w:szCs w:val="32"/>
          <w:lang w:val="en-US" w:eastAsia="zh-CN"/>
        </w:rPr>
        <w:t>九、</w:t>
      </w:r>
      <w:r>
        <w:rPr>
          <w:rFonts w:hint="eastAsia" w:ascii="黑体" w:hAnsi="黑体" w:eastAsia="黑体" w:cs="黑体"/>
          <w:sz w:val="32"/>
          <w:szCs w:val="32"/>
        </w:rPr>
        <w:t>管辖及争议解决方式</w:t>
      </w:r>
    </w:p>
    <w:p w14:paraId="1A04C3AF">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（一）本合同及资产出租中的行为均适用中华人民共和国法律、法规及相关规定。</w:t>
      </w:r>
    </w:p>
    <w:p w14:paraId="43D3C8C5">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（二）有关本合同的解释或履行，当事人之间发生争议的，应由双方协商解决；协商解决不成的，依法向房屋所在地人民法院提起诉讼。</w:t>
      </w:r>
    </w:p>
    <w:p w14:paraId="2ECA1040">
      <w:pPr>
        <w:pStyle w:val="18"/>
        <w:tabs>
          <w:tab w:val="left" w:pos="1246"/>
        </w:tabs>
        <w:spacing w:line="520" w:lineRule="exact"/>
        <w:ind w:firstLine="640" w:firstLineChars="200"/>
        <w:jc w:val="left"/>
        <w:rPr>
          <w:rFonts w:ascii="黑体" w:hAnsi="黑体" w:eastAsia="黑体" w:cs="黑体"/>
          <w:sz w:val="32"/>
          <w:szCs w:val="32"/>
          <w:lang w:val="en-US" w:eastAsia="zh-CN"/>
        </w:rPr>
      </w:pPr>
      <w:r>
        <w:rPr>
          <w:rFonts w:hint="eastAsia" w:ascii="黑体" w:hAnsi="黑体" w:eastAsia="黑体" w:cs="黑体"/>
          <w:sz w:val="32"/>
          <w:szCs w:val="32"/>
          <w:lang w:val="en-US" w:eastAsia="zh-CN"/>
        </w:rPr>
        <w:t>十、其他</w:t>
      </w:r>
    </w:p>
    <w:p w14:paraId="18DE2332">
      <w:pPr>
        <w:spacing w:line="560" w:lineRule="exact"/>
        <w:ind w:firstLine="640" w:firstLineChars="200"/>
        <w:jc w:val="both"/>
        <w:rPr>
          <w:rFonts w:hint="eastAsia" w:ascii="仿宋_GB2312" w:hAnsi="等线" w:eastAsia="仿宋_GB2312" w:cs="Times New Roman"/>
          <w:kern w:val="2"/>
          <w:sz w:val="32"/>
          <w:szCs w:val="32"/>
          <w:lang w:val="en-US" w:eastAsia="zh-CN" w:bidi="ar-SA"/>
        </w:rPr>
      </w:pPr>
      <w:bookmarkStart w:id="12" w:name="_GoBack"/>
      <w:r>
        <w:rPr>
          <w:rFonts w:hint="eastAsia" w:ascii="仿宋_GB2312" w:hAnsi="等线" w:eastAsia="仿宋_GB2312" w:cs="Times New Roman"/>
          <w:kern w:val="2"/>
          <w:sz w:val="32"/>
          <w:szCs w:val="32"/>
          <w:lang w:val="en-US" w:eastAsia="zh-CN" w:bidi="ar-SA"/>
        </w:rPr>
        <w:t>（一）本合同自甲乙双方法定代表人或授权代表签字、盖章之日起成立，自乙方缴纳租金及履约保证金之日起生效。</w:t>
      </w:r>
    </w:p>
    <w:p w14:paraId="1CF8F4A1">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（二）本合同未尽事宜，由甲乙双方协商确定，签订补充合同，补充合同与本合同具有同等法律效力。</w:t>
      </w:r>
    </w:p>
    <w:p w14:paraId="15CD9890">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（三）本合同书和本合同附件具有同等法律效力。</w:t>
      </w:r>
    </w:p>
    <w:p w14:paraId="0B627826">
      <w:pPr>
        <w:spacing w:line="560" w:lineRule="exact"/>
        <w:ind w:firstLine="640" w:firstLineChars="200"/>
        <w:jc w:val="both"/>
        <w:rPr>
          <w:rFonts w:hint="eastAsia" w:ascii="仿宋_GB2312" w:hAnsi="等线" w:eastAsia="仿宋_GB2312" w:cs="Times New Roman"/>
          <w:kern w:val="2"/>
          <w:sz w:val="32"/>
          <w:szCs w:val="32"/>
          <w:lang w:val="en-US" w:eastAsia="zh-CN" w:bidi="ar-SA"/>
        </w:rPr>
      </w:pPr>
      <w:r>
        <w:rPr>
          <w:rFonts w:hint="eastAsia" w:ascii="仿宋_GB2312" w:hAnsi="等线" w:eastAsia="仿宋_GB2312" w:cs="Times New Roman"/>
          <w:kern w:val="2"/>
          <w:sz w:val="32"/>
          <w:szCs w:val="32"/>
          <w:lang w:val="en-US" w:eastAsia="zh-CN" w:bidi="ar-SA"/>
        </w:rPr>
        <w:t>（四）本合同一式伍份，甲方叁份，乙方壹份，陕西省公共资源交易中心备案壹份，具有同等法律效力。</w:t>
      </w:r>
    </w:p>
    <w:bookmarkEnd w:id="12"/>
    <w:p w14:paraId="511A6723">
      <w:pPr>
        <w:pStyle w:val="18"/>
        <w:spacing w:line="520" w:lineRule="exact"/>
        <w:ind w:firstLine="640" w:firstLineChars="200"/>
        <w:jc w:val="left"/>
        <w:rPr>
          <w:rFonts w:ascii="仿宋_GB2312" w:hAnsi="仿宋_GB2312" w:eastAsia="仿宋_GB2312" w:cs="仿宋_GB2312"/>
          <w:sz w:val="32"/>
          <w:szCs w:val="32"/>
          <w:lang w:val="en-US" w:eastAsia="zh-CN"/>
        </w:rPr>
      </w:pPr>
    </w:p>
    <w:p w14:paraId="6648FB45">
      <w:pPr>
        <w:pStyle w:val="18"/>
        <w:spacing w:line="520" w:lineRule="exact"/>
        <w:ind w:firstLine="640" w:firstLineChars="200"/>
        <w:jc w:val="left"/>
        <w:rPr>
          <w:rFonts w:ascii="仿宋_GB2312" w:hAnsi="仿宋_GB2312" w:eastAsia="仿宋_GB2312" w:cs="仿宋_GB2312"/>
          <w:sz w:val="32"/>
          <w:szCs w:val="32"/>
          <w:lang w:val="en-US" w:eastAsia="zh-CN"/>
        </w:rPr>
      </w:pPr>
    </w:p>
    <w:p w14:paraId="5E6E3E5E">
      <w:pPr>
        <w:pStyle w:val="18"/>
        <w:spacing w:line="520" w:lineRule="exact"/>
        <w:ind w:firstLine="640" w:firstLineChars="200"/>
        <w:jc w:val="left"/>
        <w:rPr>
          <w:rFonts w:ascii="仿宋_GB2312" w:hAnsi="仿宋_GB2312" w:eastAsia="仿宋_GB2312" w:cs="仿宋_GB2312"/>
          <w:sz w:val="32"/>
          <w:szCs w:val="32"/>
          <w:lang w:val="en-US" w:eastAsia="zh-CN"/>
        </w:rPr>
      </w:pPr>
    </w:p>
    <w:p w14:paraId="3FAA46FC">
      <w:pPr>
        <w:pStyle w:val="18"/>
        <w:spacing w:line="520" w:lineRule="exact"/>
        <w:ind w:firstLine="640" w:firstLineChars="200"/>
        <w:jc w:val="left"/>
        <w:rPr>
          <w:rFonts w:ascii="仿宋_GB2312" w:hAnsi="仿宋_GB2312" w:eastAsia="仿宋_GB2312" w:cs="仿宋_GB2312"/>
          <w:sz w:val="32"/>
          <w:szCs w:val="32"/>
          <w:lang w:val="en-US" w:eastAsia="zh-CN"/>
        </w:rPr>
      </w:pPr>
    </w:p>
    <w:p w14:paraId="6C738367">
      <w:pPr>
        <w:pStyle w:val="18"/>
        <w:spacing w:line="520" w:lineRule="exact"/>
        <w:ind w:firstLine="640" w:firstLineChars="200"/>
        <w:jc w:val="left"/>
        <w:rPr>
          <w:rFonts w:ascii="仿宋_GB2312" w:hAnsi="仿宋_GB2312" w:eastAsia="仿宋_GB2312" w:cs="仿宋_GB2312"/>
          <w:sz w:val="32"/>
          <w:szCs w:val="32"/>
          <w:lang w:val="en-US" w:eastAsia="zh-CN"/>
        </w:rPr>
      </w:pPr>
    </w:p>
    <w:p w14:paraId="5459B8AE">
      <w:pPr>
        <w:pStyle w:val="18"/>
        <w:spacing w:line="520" w:lineRule="exact"/>
        <w:ind w:firstLine="640" w:firstLineChars="200"/>
        <w:jc w:val="left"/>
        <w:rPr>
          <w:rFonts w:hint="eastAsia" w:ascii="仿宋_GB2312" w:hAnsi="仿宋_GB2312" w:eastAsia="仿宋_GB2312" w:cs="仿宋_GB2312"/>
          <w:sz w:val="32"/>
          <w:szCs w:val="32"/>
          <w:lang w:val="en-US" w:eastAsia="zh-CN"/>
        </w:rPr>
      </w:pPr>
    </w:p>
    <w:p w14:paraId="406A4D33">
      <w:pPr>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房屋交付清单</w:t>
      </w:r>
    </w:p>
    <w:p w14:paraId="49206409">
      <w:pPr>
        <w:spacing w:line="560" w:lineRule="exact"/>
        <w:ind w:firstLine="640" w:firstLineChars="200"/>
        <w:rPr>
          <w:rFonts w:ascii="仿宋_GB2312" w:eastAsia="仿宋_GB2312"/>
          <w:sz w:val="32"/>
          <w:szCs w:val="32"/>
        </w:rPr>
      </w:pPr>
      <w:r>
        <w:rPr>
          <w:rFonts w:hint="eastAsia" w:ascii="仿宋_GB2312" w:eastAsia="仿宋_GB2312"/>
          <w:sz w:val="32"/>
          <w:szCs w:val="32"/>
        </w:rPr>
        <w:t>本清单由出租方（以下简称“甲方”）与承租方（以下简称“乙方”）共同核对、确认，用于明确出租房屋交付时的具体状况，界定双方权利义务，作为租赁期间房屋维护及租赁期满后返还验收的依据。</w:t>
      </w:r>
    </w:p>
    <w:p w14:paraId="7AAA842F">
      <w:pPr>
        <w:spacing w:line="560" w:lineRule="exact"/>
        <w:rPr>
          <w:rFonts w:ascii="仿宋_GB2312" w:eastAsia="仿宋_GB2312"/>
          <w:sz w:val="32"/>
          <w:szCs w:val="32"/>
        </w:rPr>
      </w:pPr>
      <w:bookmarkStart w:id="8" w:name="heading_0"/>
      <w:r>
        <w:rPr>
          <w:rFonts w:hint="eastAsia" w:ascii="仿宋_GB2312" w:eastAsia="仿宋_GB2312"/>
          <w:sz w:val="32"/>
          <w:szCs w:val="32"/>
        </w:rPr>
        <w:t>一、基础信息</w:t>
      </w:r>
      <w:bookmarkEnd w:id="8"/>
    </w:p>
    <w:tbl>
      <w:tblPr>
        <w:tblStyle w:val="12"/>
        <w:tblW w:w="8909"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000"/>
        <w:gridCol w:w="5909"/>
      </w:tblGrid>
      <w:tr w14:paraId="2086673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A9DF3E2">
            <w:pPr>
              <w:spacing w:line="560" w:lineRule="exact"/>
              <w:rPr>
                <w:rFonts w:ascii="仿宋_GB2312" w:eastAsia="仿宋_GB2312"/>
                <w:sz w:val="30"/>
                <w:szCs w:val="30"/>
              </w:rPr>
            </w:pPr>
            <w:r>
              <w:rPr>
                <w:rFonts w:hint="eastAsia" w:ascii="仿宋_GB2312" w:eastAsia="仿宋_GB2312"/>
                <w:sz w:val="30"/>
                <w:szCs w:val="30"/>
              </w:rPr>
              <w:t>项目</w:t>
            </w:r>
          </w:p>
        </w:tc>
        <w:tc>
          <w:tcPr>
            <w:tcW w:w="5909" w:type="dxa"/>
            <w:tcMar>
              <w:top w:w="60" w:type="dxa"/>
              <w:left w:w="120" w:type="dxa"/>
              <w:bottom w:w="30" w:type="dxa"/>
              <w:right w:w="120" w:type="dxa"/>
            </w:tcMar>
          </w:tcPr>
          <w:p w14:paraId="18A22C33">
            <w:pPr>
              <w:spacing w:line="560" w:lineRule="exact"/>
              <w:rPr>
                <w:rFonts w:ascii="仿宋_GB2312" w:eastAsia="仿宋_GB2312"/>
                <w:sz w:val="30"/>
                <w:szCs w:val="30"/>
              </w:rPr>
            </w:pPr>
          </w:p>
        </w:tc>
      </w:tr>
      <w:tr w14:paraId="7F90DB8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5F315AED">
            <w:pPr>
              <w:spacing w:line="560" w:lineRule="exact"/>
              <w:rPr>
                <w:rFonts w:ascii="仿宋_GB2312" w:eastAsia="仿宋_GB2312"/>
                <w:sz w:val="30"/>
                <w:szCs w:val="30"/>
              </w:rPr>
            </w:pPr>
            <w:r>
              <w:rPr>
                <w:rFonts w:hint="eastAsia" w:ascii="仿宋_GB2312" w:eastAsia="仿宋_GB2312"/>
                <w:sz w:val="30"/>
                <w:szCs w:val="30"/>
              </w:rPr>
              <w:t>出租方（甲方）</w:t>
            </w:r>
          </w:p>
        </w:tc>
        <w:tc>
          <w:tcPr>
            <w:tcW w:w="5909" w:type="dxa"/>
            <w:tcMar>
              <w:top w:w="60" w:type="dxa"/>
              <w:left w:w="120" w:type="dxa"/>
              <w:bottom w:w="30" w:type="dxa"/>
              <w:right w:w="120" w:type="dxa"/>
            </w:tcMar>
          </w:tcPr>
          <w:p w14:paraId="037A22AC">
            <w:pPr>
              <w:spacing w:line="560" w:lineRule="exact"/>
              <w:rPr>
                <w:rFonts w:ascii="仿宋_GB2312" w:eastAsia="仿宋_GB2312"/>
                <w:sz w:val="30"/>
                <w:szCs w:val="30"/>
              </w:rPr>
            </w:pPr>
            <w:r>
              <w:rPr>
                <w:rFonts w:hint="eastAsia" w:ascii="仿宋_GB2312" w:eastAsia="仿宋_GB2312"/>
                <w:sz w:val="30"/>
                <w:szCs w:val="30"/>
              </w:rPr>
              <w:t>西北政法大学</w:t>
            </w:r>
          </w:p>
        </w:tc>
      </w:tr>
      <w:tr w14:paraId="027A13D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342A8F9">
            <w:pPr>
              <w:spacing w:line="560" w:lineRule="exact"/>
              <w:rPr>
                <w:rFonts w:ascii="仿宋_GB2312" w:eastAsia="仿宋_GB2312"/>
                <w:sz w:val="30"/>
                <w:szCs w:val="30"/>
              </w:rPr>
            </w:pPr>
            <w:r>
              <w:rPr>
                <w:rFonts w:hint="eastAsia" w:ascii="仿宋_GB2312" w:eastAsia="仿宋_GB2312"/>
                <w:sz w:val="30"/>
                <w:szCs w:val="30"/>
              </w:rPr>
              <w:t>承租方（乙方）</w:t>
            </w:r>
          </w:p>
        </w:tc>
        <w:tc>
          <w:tcPr>
            <w:tcW w:w="5909" w:type="dxa"/>
            <w:tcMar>
              <w:top w:w="60" w:type="dxa"/>
              <w:left w:w="120" w:type="dxa"/>
              <w:bottom w:w="30" w:type="dxa"/>
              <w:right w:w="120" w:type="dxa"/>
            </w:tcMar>
          </w:tcPr>
          <w:p w14:paraId="5F595E0D">
            <w:pPr>
              <w:spacing w:line="560" w:lineRule="exact"/>
              <w:rPr>
                <w:rFonts w:ascii="仿宋_GB2312" w:eastAsia="仿宋_GB2312"/>
                <w:sz w:val="30"/>
                <w:szCs w:val="30"/>
              </w:rPr>
            </w:pPr>
          </w:p>
        </w:tc>
      </w:tr>
      <w:tr w14:paraId="74104B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20579691">
            <w:pPr>
              <w:spacing w:line="560" w:lineRule="exact"/>
              <w:rPr>
                <w:rFonts w:ascii="仿宋_GB2312" w:eastAsia="仿宋_GB2312"/>
                <w:sz w:val="30"/>
                <w:szCs w:val="30"/>
              </w:rPr>
            </w:pPr>
            <w:r>
              <w:rPr>
                <w:rFonts w:hint="eastAsia" w:ascii="仿宋_GB2312" w:eastAsia="仿宋_GB2312"/>
                <w:sz w:val="30"/>
                <w:szCs w:val="30"/>
              </w:rPr>
              <w:t>房屋地址</w:t>
            </w:r>
          </w:p>
        </w:tc>
        <w:tc>
          <w:tcPr>
            <w:tcW w:w="5909" w:type="dxa"/>
            <w:tcMar>
              <w:top w:w="60" w:type="dxa"/>
              <w:left w:w="120" w:type="dxa"/>
              <w:bottom w:w="30" w:type="dxa"/>
              <w:right w:w="120" w:type="dxa"/>
            </w:tcMar>
          </w:tcPr>
          <w:p w14:paraId="5B37F764">
            <w:pPr>
              <w:spacing w:line="560" w:lineRule="exact"/>
              <w:rPr>
                <w:rFonts w:ascii="仿宋_GB2312" w:eastAsia="仿宋_GB2312"/>
                <w:sz w:val="30"/>
                <w:szCs w:val="30"/>
              </w:rPr>
            </w:pPr>
            <w:r>
              <w:rPr>
                <w:rFonts w:hint="eastAsia" w:ascii="仿宋_GB2312" w:eastAsia="仿宋_GB2312"/>
                <w:sz w:val="30"/>
                <w:szCs w:val="30"/>
              </w:rPr>
              <w:t xml:space="preserve">西安市□西长安街558号西北政法大学长安校区 </w:t>
            </w:r>
          </w:p>
          <w:p w14:paraId="0D1AA973">
            <w:pPr>
              <w:spacing w:line="560" w:lineRule="exact"/>
              <w:rPr>
                <w:rFonts w:ascii="仿宋_GB2312" w:eastAsia="仿宋_GB2312"/>
                <w:sz w:val="30"/>
                <w:szCs w:val="30"/>
              </w:rPr>
            </w:pPr>
            <w:r>
              <w:rPr>
                <w:rFonts w:hint="eastAsia" w:ascii="仿宋_GB2312" w:eastAsia="仿宋_GB2312"/>
                <w:sz w:val="30"/>
                <w:szCs w:val="30"/>
              </w:rPr>
              <w:t>□长安南路300号西北政法大学雁塔校区内</w:t>
            </w:r>
          </w:p>
          <w:p w14:paraId="52E34664">
            <w:pPr>
              <w:spacing w:line="560" w:lineRule="exact"/>
              <w:rPr>
                <w:rFonts w:ascii="仿宋_GB2312" w:eastAsia="仿宋_GB2312"/>
                <w:sz w:val="30"/>
                <w:szCs w:val="30"/>
              </w:rPr>
            </w:pPr>
            <w:r>
              <w:rPr>
                <w:rFonts w:hint="eastAsia" w:ascii="仿宋_GB2312" w:eastAsia="仿宋_GB2312"/>
                <w:sz w:val="30"/>
                <w:szCs w:val="30"/>
              </w:rPr>
              <w:t xml:space="preserve">（具体位置： </w:t>
            </w:r>
            <w:r>
              <w:rPr>
                <w:rFonts w:ascii="仿宋_GB2312" w:eastAsia="仿宋_GB2312"/>
                <w:sz w:val="30"/>
                <w:szCs w:val="30"/>
              </w:rPr>
              <w:t xml:space="preserve">                      </w:t>
            </w:r>
            <w:r>
              <w:rPr>
                <w:rFonts w:hint="eastAsia" w:ascii="仿宋_GB2312" w:eastAsia="仿宋_GB2312"/>
                <w:sz w:val="30"/>
                <w:szCs w:val="30"/>
              </w:rPr>
              <w:t>）</w:t>
            </w:r>
          </w:p>
        </w:tc>
      </w:tr>
      <w:tr w14:paraId="39369B8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30222B23">
            <w:pPr>
              <w:spacing w:line="560" w:lineRule="exact"/>
              <w:rPr>
                <w:rFonts w:ascii="仿宋_GB2312" w:eastAsia="仿宋_GB2312"/>
                <w:sz w:val="30"/>
                <w:szCs w:val="30"/>
              </w:rPr>
            </w:pPr>
            <w:r>
              <w:rPr>
                <w:rFonts w:hint="eastAsia" w:ascii="仿宋_GB2312" w:eastAsia="仿宋_GB2312"/>
                <w:sz w:val="30"/>
                <w:szCs w:val="30"/>
              </w:rPr>
              <w:t>建筑面积</w:t>
            </w:r>
          </w:p>
        </w:tc>
        <w:tc>
          <w:tcPr>
            <w:tcW w:w="5909" w:type="dxa"/>
            <w:tcMar>
              <w:top w:w="60" w:type="dxa"/>
              <w:left w:w="120" w:type="dxa"/>
              <w:bottom w:w="30" w:type="dxa"/>
              <w:right w:w="120" w:type="dxa"/>
            </w:tcMar>
          </w:tcPr>
          <w:p w14:paraId="29DDB35C">
            <w:pPr>
              <w:spacing w:line="560" w:lineRule="exact"/>
              <w:ind w:firstLine="1200" w:firstLineChars="400"/>
              <w:rPr>
                <w:rFonts w:ascii="仿宋_GB2312" w:eastAsia="仿宋_GB2312"/>
                <w:sz w:val="30"/>
                <w:szCs w:val="30"/>
              </w:rPr>
            </w:pPr>
            <w:r>
              <w:rPr>
                <w:rFonts w:hint="eastAsia" w:ascii="仿宋_GB2312" w:eastAsia="仿宋_GB2312"/>
                <w:sz w:val="30"/>
                <w:szCs w:val="30"/>
              </w:rPr>
              <w:t>平方米（与主合同约定一致）</w:t>
            </w:r>
          </w:p>
        </w:tc>
      </w:tr>
      <w:tr w14:paraId="18C22E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EF8577C">
            <w:pPr>
              <w:spacing w:line="560" w:lineRule="exact"/>
              <w:rPr>
                <w:rFonts w:ascii="仿宋_GB2312" w:eastAsia="仿宋_GB2312"/>
                <w:sz w:val="30"/>
                <w:szCs w:val="30"/>
              </w:rPr>
            </w:pPr>
            <w:r>
              <w:rPr>
                <w:rFonts w:hint="eastAsia" w:ascii="仿宋_GB2312" w:eastAsia="仿宋_GB2312"/>
                <w:sz w:val="30"/>
                <w:szCs w:val="30"/>
              </w:rPr>
              <w:t>交付日期</w:t>
            </w:r>
          </w:p>
        </w:tc>
        <w:tc>
          <w:tcPr>
            <w:tcW w:w="5909" w:type="dxa"/>
            <w:tcMar>
              <w:top w:w="60" w:type="dxa"/>
              <w:left w:w="120" w:type="dxa"/>
              <w:bottom w:w="30" w:type="dxa"/>
              <w:right w:w="120" w:type="dxa"/>
            </w:tcMar>
          </w:tcPr>
          <w:p w14:paraId="18413605">
            <w:pPr>
              <w:spacing w:line="560" w:lineRule="exact"/>
              <w:ind w:firstLine="1200" w:firstLineChars="400"/>
              <w:rPr>
                <w:rFonts w:ascii="仿宋_GB2312" w:eastAsia="仿宋_GB2312"/>
                <w:sz w:val="30"/>
                <w:szCs w:val="30"/>
              </w:rPr>
            </w:pPr>
            <w:r>
              <w:rPr>
                <w:rFonts w:hint="eastAsia" w:ascii="仿宋_GB2312" w:eastAsia="仿宋_GB2312"/>
                <w:sz w:val="30"/>
                <w:szCs w:val="30"/>
              </w:rPr>
              <w:t>年</w:t>
            </w:r>
            <w:r>
              <w:rPr>
                <w:rFonts w:ascii="仿宋_GB2312" w:eastAsia="仿宋_GB2312"/>
                <w:sz w:val="30"/>
                <w:szCs w:val="30"/>
              </w:rPr>
              <w:t xml:space="preserve">    </w:t>
            </w:r>
            <w:r>
              <w:rPr>
                <w:rFonts w:hint="eastAsia" w:ascii="仿宋_GB2312" w:eastAsia="仿宋_GB2312"/>
                <w:sz w:val="30"/>
                <w:szCs w:val="30"/>
              </w:rPr>
              <w:t>月</w:t>
            </w:r>
            <w:r>
              <w:rPr>
                <w:rFonts w:ascii="仿宋_GB2312" w:eastAsia="仿宋_GB2312"/>
                <w:sz w:val="30"/>
                <w:szCs w:val="30"/>
              </w:rPr>
              <w:t xml:space="preserve">    </w:t>
            </w:r>
            <w:r>
              <w:rPr>
                <w:rFonts w:hint="eastAsia" w:ascii="仿宋_GB2312" w:eastAsia="仿宋_GB2312"/>
                <w:sz w:val="30"/>
                <w:szCs w:val="30"/>
              </w:rPr>
              <w:t>日</w:t>
            </w:r>
          </w:p>
        </w:tc>
      </w:tr>
      <w:tr w14:paraId="4E573A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6C9088B4">
            <w:pPr>
              <w:spacing w:line="560" w:lineRule="exact"/>
              <w:rPr>
                <w:rFonts w:ascii="仿宋_GB2312" w:eastAsia="仿宋_GB2312"/>
                <w:sz w:val="30"/>
                <w:szCs w:val="30"/>
              </w:rPr>
            </w:pPr>
            <w:r>
              <w:rPr>
                <w:rFonts w:hint="eastAsia" w:ascii="仿宋_GB2312" w:eastAsia="仿宋_GB2312"/>
                <w:sz w:val="30"/>
                <w:szCs w:val="30"/>
              </w:rPr>
              <w:t>备注</w:t>
            </w:r>
          </w:p>
        </w:tc>
        <w:tc>
          <w:tcPr>
            <w:tcW w:w="5909" w:type="dxa"/>
            <w:tcMar>
              <w:top w:w="60" w:type="dxa"/>
              <w:left w:w="120" w:type="dxa"/>
              <w:bottom w:w="30" w:type="dxa"/>
              <w:right w:w="120" w:type="dxa"/>
            </w:tcMar>
          </w:tcPr>
          <w:p w14:paraId="7FD94C76">
            <w:pPr>
              <w:spacing w:line="560" w:lineRule="exact"/>
              <w:rPr>
                <w:rFonts w:ascii="仿宋_GB2312" w:eastAsia="仿宋_GB2312"/>
                <w:sz w:val="30"/>
                <w:szCs w:val="30"/>
              </w:rPr>
            </w:pPr>
            <w:r>
              <w:rPr>
                <w:rFonts w:hint="eastAsia" w:ascii="仿宋_GB2312" w:eastAsia="仿宋_GB2312"/>
                <w:sz w:val="30"/>
                <w:szCs w:val="30"/>
              </w:rPr>
              <w:t>本房屋用途为</w:t>
            </w:r>
            <w:r>
              <w:rPr>
                <w:rFonts w:ascii="仿宋_GB2312" w:eastAsia="仿宋_GB2312"/>
                <w:sz w:val="30"/>
                <w:szCs w:val="30"/>
              </w:rPr>
              <w:t xml:space="preserve">       </w:t>
            </w:r>
            <w:r>
              <w:rPr>
                <w:rFonts w:hint="eastAsia" w:ascii="仿宋_GB2312" w:eastAsia="仿宋_GB2312"/>
                <w:sz w:val="30"/>
                <w:szCs w:val="30"/>
              </w:rPr>
              <w:t>（与主合同约定一致），乙方不得擅自改变用途；交付时房屋主体及附属设施、设备均处于正常可使用状态（自然损耗除外）</w:t>
            </w:r>
          </w:p>
        </w:tc>
      </w:tr>
    </w:tbl>
    <w:p w14:paraId="0369A000">
      <w:pPr>
        <w:spacing w:line="560" w:lineRule="exact"/>
        <w:rPr>
          <w:rFonts w:ascii="仿宋_GB2312" w:eastAsia="仿宋_GB2312"/>
          <w:sz w:val="32"/>
          <w:szCs w:val="32"/>
        </w:rPr>
      </w:pPr>
      <w:bookmarkStart w:id="9" w:name="heading_1"/>
      <w:r>
        <w:rPr>
          <w:rFonts w:hint="eastAsia" w:ascii="仿宋_GB2312" w:eastAsia="仿宋_GB2312"/>
          <w:sz w:val="32"/>
          <w:szCs w:val="32"/>
        </w:rPr>
        <w:t>二、房屋主体及固定设施状况</w:t>
      </w:r>
      <w:bookmarkEnd w:id="9"/>
    </w:p>
    <w:tbl>
      <w:tblPr>
        <w:tblStyle w:val="12"/>
        <w:tblW w:w="8909"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21"/>
        <w:gridCol w:w="3544"/>
        <w:gridCol w:w="3544"/>
      </w:tblGrid>
      <w:tr w14:paraId="557C7E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062BD427">
            <w:pPr>
              <w:spacing w:line="560" w:lineRule="exact"/>
              <w:rPr>
                <w:rFonts w:ascii="仿宋_GB2312" w:eastAsia="仿宋_GB2312"/>
                <w:sz w:val="30"/>
                <w:szCs w:val="30"/>
              </w:rPr>
            </w:pPr>
            <w:r>
              <w:rPr>
                <w:rFonts w:hint="eastAsia" w:ascii="仿宋_GB2312" w:eastAsia="仿宋_GB2312"/>
                <w:sz w:val="30"/>
                <w:szCs w:val="30"/>
              </w:rPr>
              <w:t>项目</w:t>
            </w:r>
          </w:p>
        </w:tc>
        <w:tc>
          <w:tcPr>
            <w:tcW w:w="3544" w:type="dxa"/>
            <w:tcMar>
              <w:top w:w="60" w:type="dxa"/>
              <w:left w:w="120" w:type="dxa"/>
              <w:bottom w:w="30" w:type="dxa"/>
              <w:right w:w="120" w:type="dxa"/>
            </w:tcMar>
          </w:tcPr>
          <w:p w14:paraId="5A769FD4">
            <w:pPr>
              <w:spacing w:line="560" w:lineRule="exact"/>
              <w:rPr>
                <w:rFonts w:ascii="仿宋_GB2312" w:eastAsia="仿宋_GB2312"/>
                <w:sz w:val="30"/>
                <w:szCs w:val="30"/>
              </w:rPr>
            </w:pPr>
            <w:r>
              <w:rPr>
                <w:rFonts w:hint="eastAsia" w:ascii="仿宋_GB2312" w:eastAsia="仿宋_GB2312"/>
                <w:sz w:val="30"/>
                <w:szCs w:val="30"/>
              </w:rPr>
              <w:t>具体描述</w:t>
            </w:r>
          </w:p>
        </w:tc>
        <w:tc>
          <w:tcPr>
            <w:tcW w:w="3544" w:type="dxa"/>
            <w:tcMar>
              <w:top w:w="60" w:type="dxa"/>
              <w:left w:w="120" w:type="dxa"/>
              <w:bottom w:w="30" w:type="dxa"/>
              <w:right w:w="120" w:type="dxa"/>
            </w:tcMar>
          </w:tcPr>
          <w:p w14:paraId="13DE62AF">
            <w:pPr>
              <w:spacing w:line="560" w:lineRule="exact"/>
              <w:rPr>
                <w:rFonts w:ascii="仿宋_GB2312" w:eastAsia="仿宋_GB2312"/>
                <w:sz w:val="30"/>
                <w:szCs w:val="30"/>
              </w:rPr>
            </w:pPr>
            <w:r>
              <w:rPr>
                <w:rFonts w:hint="eastAsia" w:ascii="仿宋_GB2312" w:eastAsia="仿宋_GB2312"/>
                <w:sz w:val="30"/>
                <w:szCs w:val="30"/>
              </w:rPr>
              <w:t>完好状态（√/×/备注）</w:t>
            </w:r>
          </w:p>
        </w:tc>
      </w:tr>
      <w:tr w14:paraId="4C5840B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24199D9F">
            <w:pPr>
              <w:spacing w:line="560" w:lineRule="exact"/>
              <w:rPr>
                <w:rFonts w:ascii="仿宋_GB2312" w:eastAsia="仿宋_GB2312"/>
                <w:sz w:val="30"/>
                <w:szCs w:val="30"/>
              </w:rPr>
            </w:pPr>
            <w:r>
              <w:rPr>
                <w:rFonts w:hint="eastAsia" w:ascii="仿宋_GB2312" w:eastAsia="仿宋_GB2312"/>
                <w:sz w:val="30"/>
                <w:szCs w:val="30"/>
              </w:rPr>
              <w:t>房屋主体</w:t>
            </w:r>
          </w:p>
        </w:tc>
        <w:tc>
          <w:tcPr>
            <w:tcW w:w="3544" w:type="dxa"/>
            <w:tcMar>
              <w:top w:w="60" w:type="dxa"/>
              <w:left w:w="120" w:type="dxa"/>
              <w:bottom w:w="30" w:type="dxa"/>
              <w:right w:w="120" w:type="dxa"/>
            </w:tcMar>
          </w:tcPr>
          <w:p w14:paraId="05C0AF1D">
            <w:pPr>
              <w:spacing w:line="560" w:lineRule="exact"/>
              <w:rPr>
                <w:rFonts w:ascii="仿宋_GB2312" w:eastAsia="仿宋_GB2312"/>
                <w:sz w:val="30"/>
                <w:szCs w:val="30"/>
              </w:rPr>
            </w:pPr>
            <w:r>
              <w:rPr>
                <w:rFonts w:hint="eastAsia" w:ascii="仿宋_GB2312" w:eastAsia="仿宋_GB2312"/>
                <w:sz w:val="30"/>
                <w:szCs w:val="30"/>
              </w:rPr>
              <w:t>墙体、地面、天花板、门窗（含门框、窗框、玻璃、门锁、门把手）</w:t>
            </w:r>
          </w:p>
        </w:tc>
        <w:tc>
          <w:tcPr>
            <w:tcW w:w="3544" w:type="dxa"/>
            <w:tcMar>
              <w:top w:w="60" w:type="dxa"/>
              <w:left w:w="120" w:type="dxa"/>
              <w:bottom w:w="30" w:type="dxa"/>
              <w:right w:w="120" w:type="dxa"/>
            </w:tcMar>
          </w:tcPr>
          <w:p w14:paraId="4C0A908D">
            <w:pPr>
              <w:spacing w:line="560" w:lineRule="exact"/>
              <w:rPr>
                <w:rFonts w:ascii="仿宋_GB2312" w:eastAsia="仿宋_GB2312"/>
                <w:sz w:val="30"/>
                <w:szCs w:val="30"/>
              </w:rPr>
            </w:pPr>
          </w:p>
        </w:tc>
      </w:tr>
      <w:tr w14:paraId="51EBCDB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70B7C854">
            <w:pPr>
              <w:spacing w:line="560" w:lineRule="exact"/>
              <w:rPr>
                <w:rFonts w:ascii="仿宋_GB2312" w:eastAsia="仿宋_GB2312"/>
                <w:sz w:val="30"/>
                <w:szCs w:val="30"/>
              </w:rPr>
            </w:pPr>
            <w:r>
              <w:rPr>
                <w:rFonts w:hint="eastAsia" w:ascii="仿宋_GB2312" w:eastAsia="仿宋_GB2312"/>
                <w:sz w:val="30"/>
                <w:szCs w:val="30"/>
              </w:rPr>
              <w:t>供水设施</w:t>
            </w:r>
          </w:p>
        </w:tc>
        <w:tc>
          <w:tcPr>
            <w:tcW w:w="3544" w:type="dxa"/>
            <w:tcMar>
              <w:top w:w="60" w:type="dxa"/>
              <w:left w:w="120" w:type="dxa"/>
              <w:bottom w:w="30" w:type="dxa"/>
              <w:right w:w="120" w:type="dxa"/>
            </w:tcMar>
          </w:tcPr>
          <w:p w14:paraId="558D3786">
            <w:pPr>
              <w:spacing w:line="560" w:lineRule="exact"/>
              <w:rPr>
                <w:rFonts w:ascii="仿宋_GB2312" w:eastAsia="仿宋_GB2312"/>
                <w:sz w:val="30"/>
                <w:szCs w:val="30"/>
              </w:rPr>
            </w:pPr>
            <w:r>
              <w:rPr>
                <w:rFonts w:hint="eastAsia" w:ascii="仿宋_GB2312" w:eastAsia="仿宋_GB2312"/>
                <w:sz w:val="30"/>
                <w:szCs w:val="30"/>
              </w:rPr>
              <w:t>水管、水龙头、水表（含表具、表盘）及供水管道，确保供水正常、无渗漏</w:t>
            </w:r>
          </w:p>
        </w:tc>
        <w:tc>
          <w:tcPr>
            <w:tcW w:w="3544" w:type="dxa"/>
            <w:tcMar>
              <w:top w:w="60" w:type="dxa"/>
              <w:left w:w="120" w:type="dxa"/>
              <w:bottom w:w="30" w:type="dxa"/>
              <w:right w:w="120" w:type="dxa"/>
            </w:tcMar>
          </w:tcPr>
          <w:p w14:paraId="2597F702">
            <w:pPr>
              <w:spacing w:line="560" w:lineRule="exact"/>
              <w:rPr>
                <w:rFonts w:ascii="仿宋_GB2312" w:eastAsia="仿宋_GB2312"/>
                <w:sz w:val="30"/>
                <w:szCs w:val="30"/>
              </w:rPr>
            </w:pPr>
          </w:p>
        </w:tc>
      </w:tr>
      <w:tr w14:paraId="1FC9DC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5E3F8B9E">
            <w:pPr>
              <w:spacing w:line="560" w:lineRule="exact"/>
              <w:rPr>
                <w:rFonts w:ascii="仿宋_GB2312" w:eastAsia="仿宋_GB2312"/>
                <w:sz w:val="30"/>
                <w:szCs w:val="30"/>
              </w:rPr>
            </w:pPr>
            <w:r>
              <w:rPr>
                <w:rFonts w:hint="eastAsia" w:ascii="仿宋_GB2312" w:eastAsia="仿宋_GB2312"/>
                <w:sz w:val="30"/>
                <w:szCs w:val="30"/>
              </w:rPr>
              <w:t>供电设施</w:t>
            </w:r>
          </w:p>
        </w:tc>
        <w:tc>
          <w:tcPr>
            <w:tcW w:w="3544" w:type="dxa"/>
            <w:tcMar>
              <w:top w:w="60" w:type="dxa"/>
              <w:left w:w="120" w:type="dxa"/>
              <w:bottom w:w="30" w:type="dxa"/>
              <w:right w:w="120" w:type="dxa"/>
            </w:tcMar>
          </w:tcPr>
          <w:p w14:paraId="46DC17B2">
            <w:pPr>
              <w:spacing w:line="560" w:lineRule="exact"/>
              <w:rPr>
                <w:rFonts w:ascii="仿宋_GB2312" w:eastAsia="仿宋_GB2312"/>
                <w:sz w:val="30"/>
                <w:szCs w:val="30"/>
              </w:rPr>
            </w:pPr>
            <w:r>
              <w:rPr>
                <w:rFonts w:hint="eastAsia" w:ascii="仿宋_GB2312" w:eastAsia="仿宋_GB2312"/>
                <w:sz w:val="30"/>
                <w:szCs w:val="30"/>
              </w:rPr>
              <w:t>电线、配电箱、开关、插座、电表（含表具、表盘）及供电线路，确保供电正常、无短路、无漏电</w:t>
            </w:r>
          </w:p>
        </w:tc>
        <w:tc>
          <w:tcPr>
            <w:tcW w:w="3544" w:type="dxa"/>
            <w:tcMar>
              <w:top w:w="60" w:type="dxa"/>
              <w:left w:w="120" w:type="dxa"/>
              <w:bottom w:w="30" w:type="dxa"/>
              <w:right w:w="120" w:type="dxa"/>
            </w:tcMar>
          </w:tcPr>
          <w:p w14:paraId="0485E5B4">
            <w:pPr>
              <w:spacing w:line="560" w:lineRule="exact"/>
              <w:rPr>
                <w:rFonts w:ascii="仿宋_GB2312" w:eastAsia="仿宋_GB2312"/>
                <w:sz w:val="30"/>
                <w:szCs w:val="30"/>
              </w:rPr>
            </w:pPr>
          </w:p>
        </w:tc>
      </w:tr>
      <w:tr w14:paraId="3BF518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21" w:type="dxa"/>
            <w:tcMar>
              <w:top w:w="60" w:type="dxa"/>
              <w:left w:w="120" w:type="dxa"/>
              <w:bottom w:w="30" w:type="dxa"/>
              <w:right w:w="120" w:type="dxa"/>
            </w:tcMar>
          </w:tcPr>
          <w:p w14:paraId="1E15020A">
            <w:pPr>
              <w:spacing w:line="560" w:lineRule="exact"/>
              <w:rPr>
                <w:rFonts w:ascii="仿宋_GB2312" w:eastAsia="仿宋_GB2312"/>
                <w:sz w:val="30"/>
                <w:szCs w:val="30"/>
              </w:rPr>
            </w:pPr>
            <w:r>
              <w:rPr>
                <w:rFonts w:hint="eastAsia" w:ascii="仿宋_GB2312" w:eastAsia="仿宋_GB2312"/>
                <w:sz w:val="30"/>
                <w:szCs w:val="30"/>
              </w:rPr>
              <w:t>供暖设施</w:t>
            </w:r>
          </w:p>
        </w:tc>
        <w:tc>
          <w:tcPr>
            <w:tcW w:w="3544" w:type="dxa"/>
            <w:tcMar>
              <w:top w:w="60" w:type="dxa"/>
              <w:left w:w="120" w:type="dxa"/>
              <w:bottom w:w="30" w:type="dxa"/>
              <w:right w:w="120" w:type="dxa"/>
            </w:tcMar>
          </w:tcPr>
          <w:p w14:paraId="26FBF67A">
            <w:pPr>
              <w:spacing w:line="560" w:lineRule="exact"/>
              <w:rPr>
                <w:rFonts w:ascii="仿宋_GB2312" w:eastAsia="仿宋_GB2312"/>
                <w:sz w:val="30"/>
                <w:szCs w:val="30"/>
              </w:rPr>
            </w:pPr>
            <w:r>
              <w:rPr>
                <w:rFonts w:hint="eastAsia" w:ascii="仿宋_GB2312" w:eastAsia="仿宋_GB2312"/>
                <w:sz w:val="30"/>
                <w:szCs w:val="30"/>
              </w:rPr>
              <w:t>暖气管道、暖气片（或地暖设施）、温控装置，确保供暖正常、无渗漏、无堵塞</w:t>
            </w:r>
          </w:p>
        </w:tc>
        <w:tc>
          <w:tcPr>
            <w:tcW w:w="3544" w:type="dxa"/>
            <w:tcMar>
              <w:top w:w="60" w:type="dxa"/>
              <w:left w:w="120" w:type="dxa"/>
              <w:bottom w:w="30" w:type="dxa"/>
              <w:right w:w="120" w:type="dxa"/>
            </w:tcMar>
          </w:tcPr>
          <w:p w14:paraId="2B2B6CAE">
            <w:pPr>
              <w:spacing w:line="560" w:lineRule="exact"/>
              <w:rPr>
                <w:rFonts w:ascii="仿宋_GB2312" w:eastAsia="仿宋_GB2312"/>
                <w:sz w:val="30"/>
                <w:szCs w:val="30"/>
              </w:rPr>
            </w:pPr>
          </w:p>
        </w:tc>
      </w:tr>
    </w:tbl>
    <w:p w14:paraId="44ADE67E">
      <w:pPr>
        <w:spacing w:line="560" w:lineRule="exact"/>
        <w:rPr>
          <w:rFonts w:ascii="仿宋_GB2312" w:eastAsia="仿宋_GB2312"/>
          <w:sz w:val="32"/>
          <w:szCs w:val="32"/>
        </w:rPr>
      </w:pPr>
      <w:bookmarkStart w:id="10" w:name="heading_2"/>
      <w:r>
        <w:rPr>
          <w:rFonts w:hint="eastAsia" w:ascii="仿宋_GB2312" w:eastAsia="仿宋_GB2312"/>
          <w:sz w:val="32"/>
          <w:szCs w:val="32"/>
        </w:rPr>
        <w:t>三、水、电、暖气相关数据确认（交付当日）</w:t>
      </w:r>
      <w:bookmarkEnd w:id="10"/>
    </w:p>
    <w:tbl>
      <w:tblPr>
        <w:tblStyle w:val="1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96"/>
        <w:gridCol w:w="1843"/>
        <w:gridCol w:w="2126"/>
        <w:gridCol w:w="2915"/>
      </w:tblGrid>
      <w:tr w14:paraId="3AA2B7C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5E704FAE">
            <w:pPr>
              <w:spacing w:line="560" w:lineRule="exact"/>
              <w:rPr>
                <w:rFonts w:ascii="仿宋_GB2312" w:eastAsia="仿宋_GB2312"/>
                <w:sz w:val="30"/>
                <w:szCs w:val="30"/>
              </w:rPr>
            </w:pPr>
            <w:r>
              <w:rPr>
                <w:rFonts w:hint="eastAsia" w:ascii="仿宋_GB2312" w:eastAsia="仿宋_GB2312"/>
                <w:sz w:val="30"/>
                <w:szCs w:val="30"/>
              </w:rPr>
              <w:t>项目</w:t>
            </w:r>
          </w:p>
        </w:tc>
        <w:tc>
          <w:tcPr>
            <w:tcW w:w="1843" w:type="dxa"/>
            <w:tcMar>
              <w:top w:w="60" w:type="dxa"/>
              <w:left w:w="120" w:type="dxa"/>
              <w:bottom w:w="30" w:type="dxa"/>
              <w:right w:w="120" w:type="dxa"/>
            </w:tcMar>
          </w:tcPr>
          <w:p w14:paraId="15ADB33C">
            <w:pPr>
              <w:spacing w:line="560" w:lineRule="exact"/>
              <w:rPr>
                <w:rFonts w:ascii="仿宋_GB2312" w:eastAsia="仿宋_GB2312"/>
                <w:sz w:val="30"/>
                <w:szCs w:val="30"/>
              </w:rPr>
            </w:pPr>
            <w:r>
              <w:rPr>
                <w:rFonts w:hint="eastAsia" w:ascii="仿宋_GB2312" w:eastAsia="仿宋_GB2312"/>
                <w:sz w:val="30"/>
                <w:szCs w:val="30"/>
              </w:rPr>
              <w:t>表具编号</w:t>
            </w:r>
          </w:p>
        </w:tc>
        <w:tc>
          <w:tcPr>
            <w:tcW w:w="2126" w:type="dxa"/>
            <w:tcMar>
              <w:top w:w="60" w:type="dxa"/>
              <w:left w:w="120" w:type="dxa"/>
              <w:bottom w:w="30" w:type="dxa"/>
              <w:right w:w="120" w:type="dxa"/>
            </w:tcMar>
          </w:tcPr>
          <w:p w14:paraId="43C1C34A">
            <w:pPr>
              <w:spacing w:line="560" w:lineRule="exact"/>
              <w:rPr>
                <w:rFonts w:ascii="仿宋_GB2312" w:eastAsia="仿宋_GB2312"/>
                <w:sz w:val="30"/>
                <w:szCs w:val="30"/>
              </w:rPr>
            </w:pPr>
            <w:r>
              <w:rPr>
                <w:rFonts w:hint="eastAsia" w:ascii="仿宋_GB2312" w:eastAsia="仿宋_GB2312"/>
                <w:sz w:val="30"/>
                <w:szCs w:val="30"/>
              </w:rPr>
              <w:t>交付当日读数</w:t>
            </w:r>
          </w:p>
        </w:tc>
        <w:tc>
          <w:tcPr>
            <w:tcW w:w="2915" w:type="dxa"/>
            <w:tcMar>
              <w:top w:w="60" w:type="dxa"/>
              <w:left w:w="120" w:type="dxa"/>
              <w:bottom w:w="30" w:type="dxa"/>
              <w:right w:w="120" w:type="dxa"/>
            </w:tcMar>
          </w:tcPr>
          <w:p w14:paraId="7B6DB416">
            <w:pPr>
              <w:spacing w:line="560" w:lineRule="exact"/>
              <w:rPr>
                <w:rFonts w:ascii="仿宋_GB2312" w:eastAsia="仿宋_GB2312"/>
                <w:sz w:val="30"/>
                <w:szCs w:val="30"/>
              </w:rPr>
            </w:pPr>
            <w:r>
              <w:rPr>
                <w:rFonts w:hint="eastAsia" w:ascii="仿宋_GB2312" w:eastAsia="仿宋_GB2312"/>
                <w:sz w:val="30"/>
                <w:szCs w:val="30"/>
              </w:rPr>
              <w:t>备注（缴费情况）</w:t>
            </w:r>
          </w:p>
        </w:tc>
      </w:tr>
      <w:tr w14:paraId="23B510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0F7092C7">
            <w:pPr>
              <w:spacing w:line="560" w:lineRule="exact"/>
              <w:rPr>
                <w:rFonts w:ascii="仿宋_GB2312" w:eastAsia="仿宋_GB2312"/>
                <w:sz w:val="30"/>
                <w:szCs w:val="30"/>
              </w:rPr>
            </w:pPr>
            <w:r>
              <w:rPr>
                <w:rFonts w:hint="eastAsia" w:ascii="仿宋_GB2312" w:eastAsia="仿宋_GB2312"/>
                <w:sz w:val="30"/>
                <w:szCs w:val="30"/>
              </w:rPr>
              <w:t>水表</w:t>
            </w:r>
          </w:p>
        </w:tc>
        <w:tc>
          <w:tcPr>
            <w:tcW w:w="1843" w:type="dxa"/>
            <w:tcMar>
              <w:top w:w="60" w:type="dxa"/>
              <w:left w:w="120" w:type="dxa"/>
              <w:bottom w:w="30" w:type="dxa"/>
              <w:right w:w="120" w:type="dxa"/>
            </w:tcMar>
          </w:tcPr>
          <w:p w14:paraId="6CBB9516">
            <w:pPr>
              <w:spacing w:line="560" w:lineRule="exact"/>
              <w:rPr>
                <w:rFonts w:ascii="仿宋_GB2312" w:eastAsia="仿宋_GB2312"/>
                <w:sz w:val="30"/>
                <w:szCs w:val="30"/>
              </w:rPr>
            </w:pPr>
          </w:p>
        </w:tc>
        <w:tc>
          <w:tcPr>
            <w:tcW w:w="2126" w:type="dxa"/>
            <w:tcMar>
              <w:top w:w="60" w:type="dxa"/>
              <w:left w:w="120" w:type="dxa"/>
              <w:bottom w:w="30" w:type="dxa"/>
              <w:right w:w="120" w:type="dxa"/>
            </w:tcMar>
          </w:tcPr>
          <w:p w14:paraId="7353610E">
            <w:pPr>
              <w:spacing w:line="560" w:lineRule="exact"/>
              <w:ind w:firstLine="900" w:firstLineChars="300"/>
              <w:rPr>
                <w:rFonts w:ascii="仿宋_GB2312" w:eastAsia="仿宋_GB2312"/>
                <w:sz w:val="30"/>
                <w:szCs w:val="30"/>
              </w:rPr>
            </w:pPr>
            <w:r>
              <w:rPr>
                <w:rFonts w:hint="eastAsia" w:ascii="仿宋_GB2312" w:eastAsia="仿宋_GB2312"/>
                <w:sz w:val="30"/>
                <w:szCs w:val="30"/>
              </w:rPr>
              <w:t>吨</w:t>
            </w:r>
          </w:p>
        </w:tc>
        <w:tc>
          <w:tcPr>
            <w:tcW w:w="2915" w:type="dxa"/>
            <w:tcMar>
              <w:top w:w="60" w:type="dxa"/>
              <w:left w:w="120" w:type="dxa"/>
              <w:bottom w:w="30" w:type="dxa"/>
              <w:right w:w="120" w:type="dxa"/>
            </w:tcMar>
          </w:tcPr>
          <w:p w14:paraId="60BF3DDC">
            <w:pPr>
              <w:spacing w:line="560" w:lineRule="exact"/>
              <w:rPr>
                <w:rFonts w:ascii="仿宋_GB2312" w:eastAsia="仿宋_GB2312"/>
                <w:sz w:val="30"/>
                <w:szCs w:val="30"/>
              </w:rPr>
            </w:pPr>
            <w:r>
              <w:rPr>
                <w:rFonts w:hint="eastAsia" w:ascii="仿宋_GB2312" w:eastAsia="仿宋_GB2312"/>
                <w:sz w:val="30"/>
                <w:szCs w:val="30"/>
              </w:rPr>
              <w:t>□已结清至交付当日 □未结清（金额：__________）</w:t>
            </w:r>
          </w:p>
        </w:tc>
      </w:tr>
      <w:tr w14:paraId="5B508F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7451F67D">
            <w:pPr>
              <w:spacing w:line="560" w:lineRule="exact"/>
              <w:rPr>
                <w:rFonts w:ascii="仿宋_GB2312" w:eastAsia="仿宋_GB2312"/>
                <w:sz w:val="30"/>
                <w:szCs w:val="30"/>
              </w:rPr>
            </w:pPr>
            <w:r>
              <w:rPr>
                <w:rFonts w:hint="eastAsia" w:ascii="仿宋_GB2312" w:eastAsia="仿宋_GB2312"/>
                <w:sz w:val="30"/>
                <w:szCs w:val="30"/>
              </w:rPr>
              <w:t>电表</w:t>
            </w:r>
          </w:p>
        </w:tc>
        <w:tc>
          <w:tcPr>
            <w:tcW w:w="1843" w:type="dxa"/>
            <w:tcMar>
              <w:top w:w="60" w:type="dxa"/>
              <w:left w:w="120" w:type="dxa"/>
              <w:bottom w:w="30" w:type="dxa"/>
              <w:right w:w="120" w:type="dxa"/>
            </w:tcMar>
          </w:tcPr>
          <w:p w14:paraId="076A02D7">
            <w:pPr>
              <w:spacing w:line="560" w:lineRule="exact"/>
              <w:rPr>
                <w:rFonts w:ascii="仿宋_GB2312" w:eastAsia="仿宋_GB2312"/>
                <w:sz w:val="30"/>
                <w:szCs w:val="30"/>
              </w:rPr>
            </w:pPr>
          </w:p>
        </w:tc>
        <w:tc>
          <w:tcPr>
            <w:tcW w:w="2126" w:type="dxa"/>
            <w:tcMar>
              <w:top w:w="60" w:type="dxa"/>
              <w:left w:w="120" w:type="dxa"/>
              <w:bottom w:w="30" w:type="dxa"/>
              <w:right w:w="120" w:type="dxa"/>
            </w:tcMar>
          </w:tcPr>
          <w:p w14:paraId="08FB951A">
            <w:pPr>
              <w:spacing w:line="560" w:lineRule="exact"/>
              <w:ind w:firstLine="900" w:firstLineChars="300"/>
              <w:rPr>
                <w:rFonts w:ascii="仿宋_GB2312" w:eastAsia="仿宋_GB2312"/>
                <w:sz w:val="30"/>
                <w:szCs w:val="30"/>
              </w:rPr>
            </w:pPr>
            <w:r>
              <w:rPr>
                <w:rFonts w:hint="eastAsia" w:ascii="仿宋_GB2312" w:eastAsia="仿宋_GB2312"/>
                <w:sz w:val="30"/>
                <w:szCs w:val="30"/>
              </w:rPr>
              <w:t xml:space="preserve"> 度</w:t>
            </w:r>
          </w:p>
        </w:tc>
        <w:tc>
          <w:tcPr>
            <w:tcW w:w="2915" w:type="dxa"/>
            <w:tcMar>
              <w:top w:w="60" w:type="dxa"/>
              <w:left w:w="120" w:type="dxa"/>
              <w:bottom w:w="30" w:type="dxa"/>
              <w:right w:w="120" w:type="dxa"/>
            </w:tcMar>
          </w:tcPr>
          <w:p w14:paraId="3693B341">
            <w:pPr>
              <w:spacing w:line="560" w:lineRule="exact"/>
              <w:rPr>
                <w:rFonts w:ascii="仿宋_GB2312" w:eastAsia="仿宋_GB2312"/>
                <w:sz w:val="30"/>
                <w:szCs w:val="30"/>
              </w:rPr>
            </w:pPr>
            <w:r>
              <w:rPr>
                <w:rFonts w:hint="eastAsia" w:ascii="仿宋_GB2312" w:eastAsia="仿宋_GB2312"/>
                <w:sz w:val="30"/>
                <w:szCs w:val="30"/>
              </w:rPr>
              <w:t>□已结清至交付当日 □未结清（金额：__________）</w:t>
            </w:r>
          </w:p>
        </w:tc>
      </w:tr>
      <w:tr w14:paraId="64BAE24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96" w:type="dxa"/>
            <w:tcMar>
              <w:top w:w="60" w:type="dxa"/>
              <w:left w:w="120" w:type="dxa"/>
              <w:bottom w:w="30" w:type="dxa"/>
              <w:right w:w="120" w:type="dxa"/>
            </w:tcMar>
          </w:tcPr>
          <w:p w14:paraId="3CADF2E7">
            <w:pPr>
              <w:spacing w:line="560" w:lineRule="exact"/>
              <w:rPr>
                <w:rFonts w:ascii="仿宋_GB2312" w:eastAsia="仿宋_GB2312"/>
                <w:sz w:val="30"/>
                <w:szCs w:val="30"/>
              </w:rPr>
            </w:pPr>
            <w:r>
              <w:rPr>
                <w:rFonts w:hint="eastAsia" w:ascii="仿宋_GB2312" w:eastAsia="仿宋_GB2312"/>
                <w:sz w:val="30"/>
                <w:szCs w:val="30"/>
              </w:rPr>
              <w:t>暖气费</w:t>
            </w:r>
          </w:p>
        </w:tc>
        <w:tc>
          <w:tcPr>
            <w:tcW w:w="1843" w:type="dxa"/>
            <w:tcMar>
              <w:top w:w="60" w:type="dxa"/>
              <w:left w:w="120" w:type="dxa"/>
              <w:bottom w:w="30" w:type="dxa"/>
              <w:right w:w="120" w:type="dxa"/>
            </w:tcMar>
          </w:tcPr>
          <w:p w14:paraId="784C5B29">
            <w:pPr>
              <w:spacing w:line="560" w:lineRule="exact"/>
              <w:rPr>
                <w:rFonts w:ascii="仿宋_GB2312" w:eastAsia="仿宋_GB2312"/>
                <w:sz w:val="30"/>
                <w:szCs w:val="30"/>
              </w:rPr>
            </w:pPr>
          </w:p>
        </w:tc>
        <w:tc>
          <w:tcPr>
            <w:tcW w:w="2126" w:type="dxa"/>
            <w:tcMar>
              <w:top w:w="60" w:type="dxa"/>
              <w:left w:w="120" w:type="dxa"/>
              <w:bottom w:w="30" w:type="dxa"/>
              <w:right w:w="120" w:type="dxa"/>
            </w:tcMar>
          </w:tcPr>
          <w:p w14:paraId="24522C88">
            <w:pPr>
              <w:spacing w:line="560" w:lineRule="exact"/>
              <w:rPr>
                <w:rFonts w:ascii="仿宋_GB2312" w:eastAsia="仿宋_GB2312"/>
                <w:sz w:val="30"/>
                <w:szCs w:val="30"/>
              </w:rPr>
            </w:pPr>
          </w:p>
        </w:tc>
        <w:tc>
          <w:tcPr>
            <w:tcW w:w="2915" w:type="dxa"/>
            <w:tcMar>
              <w:top w:w="60" w:type="dxa"/>
              <w:left w:w="120" w:type="dxa"/>
              <w:bottom w:w="30" w:type="dxa"/>
              <w:right w:w="120" w:type="dxa"/>
            </w:tcMar>
          </w:tcPr>
          <w:p w14:paraId="7F8321F6">
            <w:pPr>
              <w:spacing w:line="560" w:lineRule="exact"/>
              <w:rPr>
                <w:rFonts w:ascii="仿宋_GB2312" w:eastAsia="仿宋_GB2312"/>
                <w:sz w:val="30"/>
                <w:szCs w:val="30"/>
              </w:rPr>
            </w:pPr>
            <w:r>
              <w:rPr>
                <w:rFonts w:hint="eastAsia" w:ascii="仿宋_GB2312" w:eastAsia="仿宋_GB2312"/>
                <w:sz w:val="30"/>
                <w:szCs w:val="30"/>
              </w:rPr>
              <w:t>□已结清至__________年____月 □未结清（金额：__________）</w:t>
            </w:r>
          </w:p>
        </w:tc>
      </w:tr>
    </w:tbl>
    <w:p w14:paraId="7087F78A">
      <w:pPr>
        <w:spacing w:line="560" w:lineRule="exact"/>
        <w:rPr>
          <w:rFonts w:ascii="仿宋_GB2312" w:eastAsia="仿宋_GB2312"/>
          <w:sz w:val="32"/>
          <w:szCs w:val="32"/>
        </w:rPr>
      </w:pPr>
      <w:bookmarkStart w:id="11" w:name="heading_4"/>
      <w:r>
        <w:rPr>
          <w:rFonts w:hint="eastAsia" w:ascii="仿宋_GB2312" w:eastAsia="仿宋_GB2312"/>
          <w:sz w:val="32"/>
          <w:szCs w:val="32"/>
        </w:rPr>
        <w:t>四、双方确认及约定</w:t>
      </w:r>
      <w:bookmarkEnd w:id="11"/>
    </w:p>
    <w:p w14:paraId="2B304DFD">
      <w:pPr>
        <w:spacing w:line="560" w:lineRule="exact"/>
        <w:ind w:firstLine="640" w:firstLineChars="200"/>
        <w:rPr>
          <w:rFonts w:ascii="仿宋_GB2312" w:eastAsia="仿宋_GB2312"/>
          <w:sz w:val="32"/>
          <w:szCs w:val="32"/>
        </w:rPr>
      </w:pPr>
      <w:r>
        <w:rPr>
          <w:rFonts w:hint="eastAsia" w:ascii="仿宋_GB2312" w:eastAsia="仿宋_GB2312"/>
          <w:sz w:val="32"/>
          <w:szCs w:val="32"/>
        </w:rPr>
        <w:t>甲乙双方已共同现场核对上述房屋主体、附属设施、物品及水、电、暖气相关情况，确认交付时房屋及设施、物品状态与本清单描述一致，无遗漏、无异议。</w:t>
      </w:r>
    </w:p>
    <w:p w14:paraId="772CA944">
      <w:pPr>
        <w:spacing w:line="560" w:lineRule="exact"/>
        <w:ind w:firstLine="640" w:firstLineChars="200"/>
        <w:rPr>
          <w:rFonts w:ascii="仿宋_GB2312" w:eastAsia="仿宋_GB2312"/>
          <w:sz w:val="32"/>
          <w:szCs w:val="32"/>
        </w:rPr>
      </w:pPr>
      <w:r>
        <w:rPr>
          <w:rFonts w:hint="eastAsia" w:ascii="仿宋_GB2312" w:eastAsia="仿宋_GB2312"/>
          <w:sz w:val="32"/>
          <w:szCs w:val="32"/>
        </w:rPr>
        <w:t>租赁期满或合同解除后，乙方应按本清单约定的状态返还房屋及附属设施、物品，甲方对照本清单进行验收。验收合格的，双方办理交接手续；验收不合格的，乙方应在甲方指定期限内整改，整改费用由乙方承担，逾期未整改的，甲方有权追究乙方违约责任。</w:t>
      </w:r>
    </w:p>
    <w:p w14:paraId="0766850D">
      <w:pPr>
        <w:spacing w:line="560" w:lineRule="exact"/>
        <w:ind w:firstLine="640" w:firstLineChars="200"/>
        <w:rPr>
          <w:rFonts w:ascii="仿宋_GB2312" w:eastAsia="仿宋_GB2312"/>
          <w:sz w:val="32"/>
          <w:szCs w:val="32"/>
        </w:rPr>
      </w:pPr>
      <w:r>
        <w:rPr>
          <w:rFonts w:hint="eastAsia" w:ascii="仿宋_GB2312" w:eastAsia="仿宋_GB2312"/>
          <w:sz w:val="32"/>
          <w:szCs w:val="32"/>
        </w:rPr>
        <w:t>本清单一式两份，甲乙双方各执一份，自双方签字（盖章）之日起生效，与主合同具有同等法律效力。</w:t>
      </w:r>
    </w:p>
    <w:p w14:paraId="030AF435">
      <w:pPr>
        <w:spacing w:line="560" w:lineRule="exact"/>
        <w:ind w:firstLine="640" w:firstLineChars="200"/>
        <w:rPr>
          <w:rFonts w:ascii="仿宋_GB2312" w:eastAsia="仿宋_GB2312"/>
          <w:sz w:val="32"/>
          <w:szCs w:val="32"/>
        </w:rPr>
      </w:pPr>
    </w:p>
    <w:p w14:paraId="5647365F">
      <w:pPr>
        <w:spacing w:line="560" w:lineRule="exact"/>
        <w:ind w:firstLine="640" w:firstLineChars="200"/>
        <w:rPr>
          <w:rFonts w:ascii="仿宋_GB2312" w:eastAsia="仿宋_GB2312"/>
          <w:sz w:val="32"/>
          <w:szCs w:val="32"/>
        </w:rPr>
      </w:pPr>
    </w:p>
    <w:p w14:paraId="04FDBF4C">
      <w:pPr>
        <w:spacing w:line="560" w:lineRule="exact"/>
        <w:ind w:firstLine="640" w:firstLineChars="200"/>
        <w:rPr>
          <w:rFonts w:ascii="仿宋_GB2312" w:eastAsia="仿宋_GB2312"/>
          <w:sz w:val="32"/>
          <w:szCs w:val="32"/>
        </w:rPr>
      </w:pPr>
    </w:p>
    <w:p w14:paraId="15A0767E">
      <w:pPr>
        <w:spacing w:line="560" w:lineRule="exact"/>
        <w:ind w:firstLine="640" w:firstLineChars="200"/>
        <w:rPr>
          <w:rFonts w:ascii="仿宋_GB2312" w:eastAsia="仿宋_GB2312"/>
          <w:sz w:val="32"/>
          <w:szCs w:val="32"/>
        </w:rPr>
      </w:pPr>
    </w:p>
    <w:p w14:paraId="23362557">
      <w:pPr>
        <w:pStyle w:val="18"/>
        <w:spacing w:line="520" w:lineRule="exact"/>
        <w:ind w:firstLine="640" w:firstLineChars="200"/>
        <w:jc w:val="left"/>
        <w:rPr>
          <w:rFonts w:hint="eastAsia" w:ascii="仿宋_GB2312" w:hAnsi="仿宋_GB2312" w:eastAsia="仿宋_GB2312" w:cs="仿宋_GB2312"/>
          <w:sz w:val="32"/>
          <w:szCs w:val="32"/>
          <w:lang w:val="en-US"/>
        </w:rPr>
      </w:pPr>
    </w:p>
    <w:p w14:paraId="7E0595DC">
      <w:pPr>
        <w:pStyle w:val="18"/>
        <w:spacing w:line="520" w:lineRule="exact"/>
        <w:ind w:firstLine="0"/>
        <w:jc w:val="left"/>
        <w:rPr>
          <w:rFonts w:ascii="仿宋_GB2312" w:hAnsi="仿宋_GB2312" w:eastAsia="仿宋_GB2312" w:cs="仿宋_GB2312"/>
          <w:sz w:val="32"/>
          <w:szCs w:val="32"/>
          <w:lang w:val="en-US" w:eastAsia="zh-CN"/>
        </w:rPr>
      </w:pPr>
    </w:p>
    <w:p w14:paraId="375318FA">
      <w:pPr>
        <w:spacing w:line="480" w:lineRule="auto"/>
        <w:ind w:left="5440" w:hanging="5440" w:hangingChars="17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甲方：</w:t>
      </w:r>
      <w:r>
        <w:rPr>
          <w:rFonts w:hint="eastAsia" w:ascii="仿宋" w:hAnsi="仿宋" w:eastAsia="仿宋" w:cs="仿宋"/>
          <w:sz w:val="32"/>
          <w:szCs w:val="32"/>
          <w:lang w:bidi="ar"/>
        </w:rPr>
        <w:t>西北政法大学</w:t>
      </w:r>
      <w:r>
        <w:rPr>
          <w:rFonts w:hint="eastAsia" w:ascii="仿宋_GB2312" w:hAnsi="仿宋_GB2312" w:eastAsia="仿宋_GB2312" w:cs="仿宋_GB2312"/>
          <w:sz w:val="32"/>
          <w:szCs w:val="32"/>
        </w:rPr>
        <w:t xml:space="preserve">           乙方：</w:t>
      </w:r>
    </w:p>
    <w:p w14:paraId="09F1F2A2">
      <w:pPr>
        <w:spacing w:line="480" w:lineRule="auto"/>
        <w:ind w:left="5440" w:hanging="5440" w:hangingChars="1700"/>
        <w:jc w:val="left"/>
        <w:rPr>
          <w:rFonts w:ascii="仿宋_GB2312" w:hAnsi="仿宋_GB2312" w:eastAsia="仿宋_GB2312" w:cs="仿宋_GB2312"/>
          <w:sz w:val="32"/>
          <w:szCs w:val="32"/>
        </w:rPr>
      </w:pPr>
    </w:p>
    <w:p w14:paraId="21F5F317">
      <w:pPr>
        <w:pStyle w:val="18"/>
        <w:spacing w:line="240" w:lineRule="auto"/>
        <w:ind w:firstLine="0"/>
        <w:jc w:val="left"/>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法定代表人或授权代表：       法定代表人或授权代表：</w:t>
      </w:r>
    </w:p>
    <w:p w14:paraId="737B82B5">
      <w:pPr>
        <w:pStyle w:val="18"/>
        <w:spacing w:line="240" w:lineRule="auto"/>
        <w:ind w:firstLine="0"/>
        <w:jc w:val="left"/>
        <w:rPr>
          <w:rFonts w:ascii="仿宋_GB2312" w:hAnsi="仿宋_GB2312" w:eastAsia="仿宋_GB2312" w:cs="仿宋_GB2312"/>
          <w:sz w:val="32"/>
          <w:szCs w:val="32"/>
          <w:lang w:val="en-US" w:eastAsia="zh-CN"/>
        </w:rPr>
      </w:pPr>
    </w:p>
    <w:p w14:paraId="64525349">
      <w:pPr>
        <w:pStyle w:val="18"/>
        <w:spacing w:line="240" w:lineRule="auto"/>
        <w:ind w:firstLine="0"/>
        <w:jc w:val="left"/>
        <w:rPr>
          <w:sz w:val="32"/>
          <w:szCs w:val="32"/>
        </w:rPr>
      </w:pPr>
      <w:r>
        <w:rPr>
          <w:rFonts w:hint="eastAsia" w:ascii="仿宋_GB2312" w:hAnsi="仿宋_GB2312" w:eastAsia="仿宋_GB2312" w:cs="仿宋_GB2312"/>
          <w:sz w:val="32"/>
          <w:szCs w:val="32"/>
          <w:lang w:val="en-US" w:eastAsia="zh-CN"/>
        </w:rPr>
        <w:t>签订日期：  年  月  日       签订日期：  年  月  日</w:t>
      </w:r>
    </w:p>
    <w:sectPr>
      <w:footerReference r:id="rId4" w:type="default"/>
      <w:pgSz w:w="11906" w:h="16838"/>
      <w:pgMar w:top="873"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D4C9D">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584997">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58584997">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88DC">
    <w:pPr>
      <w:pStyle w:val="9"/>
      <w:tabs>
        <w:tab w:val="left" w:pos="4690"/>
        <w:tab w:val="clear" w:pos="4153"/>
      </w:tabs>
    </w:pPr>
    <w:r>
      <w:rPr>
        <w:rFonts w:hint="eastAsia"/>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4MGI4ZDc3OGMyNzg1YWQ3NzZiZDUxODAzZjIyMGMifQ=="/>
  </w:docVars>
  <w:rsids>
    <w:rsidRoot w:val="4AFA43F2"/>
    <w:rsid w:val="00010D4D"/>
    <w:rsid w:val="00083D23"/>
    <w:rsid w:val="001B1F5D"/>
    <w:rsid w:val="001C1E36"/>
    <w:rsid w:val="001C741D"/>
    <w:rsid w:val="001E1161"/>
    <w:rsid w:val="00207B6B"/>
    <w:rsid w:val="002922E2"/>
    <w:rsid w:val="002B1074"/>
    <w:rsid w:val="002C304C"/>
    <w:rsid w:val="002E02D5"/>
    <w:rsid w:val="003E599B"/>
    <w:rsid w:val="004421E7"/>
    <w:rsid w:val="00477877"/>
    <w:rsid w:val="0050632A"/>
    <w:rsid w:val="00581A15"/>
    <w:rsid w:val="00694B60"/>
    <w:rsid w:val="007410CA"/>
    <w:rsid w:val="007F2B79"/>
    <w:rsid w:val="008003B7"/>
    <w:rsid w:val="00837B01"/>
    <w:rsid w:val="00875C80"/>
    <w:rsid w:val="008B3E44"/>
    <w:rsid w:val="00A13BEE"/>
    <w:rsid w:val="00A16EEA"/>
    <w:rsid w:val="00A308C1"/>
    <w:rsid w:val="00A77DAF"/>
    <w:rsid w:val="00A805F2"/>
    <w:rsid w:val="00AF59B6"/>
    <w:rsid w:val="00B52690"/>
    <w:rsid w:val="00BC1BA9"/>
    <w:rsid w:val="00D5269F"/>
    <w:rsid w:val="00D97247"/>
    <w:rsid w:val="00DF3FC5"/>
    <w:rsid w:val="00E265DF"/>
    <w:rsid w:val="00EB77A3"/>
    <w:rsid w:val="00ED018C"/>
    <w:rsid w:val="00ED3A0F"/>
    <w:rsid w:val="00ED6CE9"/>
    <w:rsid w:val="019057C1"/>
    <w:rsid w:val="038510F9"/>
    <w:rsid w:val="046720D6"/>
    <w:rsid w:val="048C6D1C"/>
    <w:rsid w:val="04BE42D1"/>
    <w:rsid w:val="089631E1"/>
    <w:rsid w:val="09434CDD"/>
    <w:rsid w:val="102E38C6"/>
    <w:rsid w:val="12223859"/>
    <w:rsid w:val="126420CA"/>
    <w:rsid w:val="12A06CFD"/>
    <w:rsid w:val="135505C5"/>
    <w:rsid w:val="154B63B1"/>
    <w:rsid w:val="15C93153"/>
    <w:rsid w:val="16C6327E"/>
    <w:rsid w:val="17195AAC"/>
    <w:rsid w:val="1762401C"/>
    <w:rsid w:val="18117704"/>
    <w:rsid w:val="18943752"/>
    <w:rsid w:val="18B2046E"/>
    <w:rsid w:val="1A472F9A"/>
    <w:rsid w:val="1B236CAD"/>
    <w:rsid w:val="1B5A3077"/>
    <w:rsid w:val="1DA83DE0"/>
    <w:rsid w:val="1FB86298"/>
    <w:rsid w:val="21F9365A"/>
    <w:rsid w:val="23EB2901"/>
    <w:rsid w:val="23FB01AE"/>
    <w:rsid w:val="24717C5D"/>
    <w:rsid w:val="254B15A9"/>
    <w:rsid w:val="25F04D41"/>
    <w:rsid w:val="26452BA5"/>
    <w:rsid w:val="26AF40B2"/>
    <w:rsid w:val="26F421BF"/>
    <w:rsid w:val="2A7B23D3"/>
    <w:rsid w:val="2B80705E"/>
    <w:rsid w:val="2BF614CD"/>
    <w:rsid w:val="2C55371B"/>
    <w:rsid w:val="2CFE4ADF"/>
    <w:rsid w:val="2D6F49D5"/>
    <w:rsid w:val="2DBD1919"/>
    <w:rsid w:val="2E6B420B"/>
    <w:rsid w:val="2F8306FA"/>
    <w:rsid w:val="2FDB63C3"/>
    <w:rsid w:val="313F5CD8"/>
    <w:rsid w:val="3143321D"/>
    <w:rsid w:val="317E2C0E"/>
    <w:rsid w:val="331B0F3A"/>
    <w:rsid w:val="33CA6223"/>
    <w:rsid w:val="34792802"/>
    <w:rsid w:val="35A43D00"/>
    <w:rsid w:val="35C502DC"/>
    <w:rsid w:val="367C4ADB"/>
    <w:rsid w:val="39945BCB"/>
    <w:rsid w:val="3B2C6FF8"/>
    <w:rsid w:val="3BAE441B"/>
    <w:rsid w:val="3CA13886"/>
    <w:rsid w:val="3D410957"/>
    <w:rsid w:val="3D6856EA"/>
    <w:rsid w:val="3EE37B4E"/>
    <w:rsid w:val="42B75D6B"/>
    <w:rsid w:val="432C5D41"/>
    <w:rsid w:val="435E490F"/>
    <w:rsid w:val="44386835"/>
    <w:rsid w:val="44495D4F"/>
    <w:rsid w:val="446544C8"/>
    <w:rsid w:val="44C02D92"/>
    <w:rsid w:val="49011B0E"/>
    <w:rsid w:val="49D13A31"/>
    <w:rsid w:val="4A0760CA"/>
    <w:rsid w:val="4AFA43F2"/>
    <w:rsid w:val="4B520E90"/>
    <w:rsid w:val="4C067F30"/>
    <w:rsid w:val="4D525D0C"/>
    <w:rsid w:val="4F4F7093"/>
    <w:rsid w:val="4F5C0CAC"/>
    <w:rsid w:val="504D546B"/>
    <w:rsid w:val="50A6165E"/>
    <w:rsid w:val="511D372C"/>
    <w:rsid w:val="51C07B1A"/>
    <w:rsid w:val="53846DA7"/>
    <w:rsid w:val="54A41486"/>
    <w:rsid w:val="552A4C18"/>
    <w:rsid w:val="565A678F"/>
    <w:rsid w:val="56703F00"/>
    <w:rsid w:val="59367ACC"/>
    <w:rsid w:val="59FA266E"/>
    <w:rsid w:val="5ABA0E20"/>
    <w:rsid w:val="5B3A12A3"/>
    <w:rsid w:val="5C6A3AF8"/>
    <w:rsid w:val="5D813648"/>
    <w:rsid w:val="5FE14E2A"/>
    <w:rsid w:val="61720DA7"/>
    <w:rsid w:val="6287090C"/>
    <w:rsid w:val="633033C3"/>
    <w:rsid w:val="637B1AF3"/>
    <w:rsid w:val="65D5364E"/>
    <w:rsid w:val="674E06DA"/>
    <w:rsid w:val="680028AC"/>
    <w:rsid w:val="692D46DF"/>
    <w:rsid w:val="6C2137F6"/>
    <w:rsid w:val="6CEB65CD"/>
    <w:rsid w:val="6D701890"/>
    <w:rsid w:val="6FC45E53"/>
    <w:rsid w:val="708E346E"/>
    <w:rsid w:val="71E86C2B"/>
    <w:rsid w:val="73B2330F"/>
    <w:rsid w:val="73FD79FC"/>
    <w:rsid w:val="743E3107"/>
    <w:rsid w:val="74C12396"/>
    <w:rsid w:val="7622497B"/>
    <w:rsid w:val="772C292A"/>
    <w:rsid w:val="788C730C"/>
    <w:rsid w:val="7D0E0E66"/>
    <w:rsid w:val="7EAA7EFD"/>
    <w:rsid w:val="7F333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semiHidden/>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autoRedefine/>
    <w:semiHidden/>
    <w:unhideWhenUsed/>
    <w:qFormat/>
    <w:uiPriority w:val="0"/>
    <w:pPr>
      <w:jc w:val="left"/>
      <w:outlineLvl w:val="2"/>
    </w:pPr>
    <w:rPr>
      <w:rFonts w:hint="eastAsia" w:ascii="宋体" w:hAnsi="宋体" w:eastAsia="宋体" w:cs="Times New Roman"/>
      <w:b/>
      <w:kern w:val="0"/>
      <w:sz w:val="16"/>
      <w:szCs w:val="16"/>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rPr>
      <w:rFonts w:ascii="Times New Roman" w:hAnsi="Times New Roman" w:eastAsia="宋体" w:cs="Times New Roman"/>
    </w:rPr>
  </w:style>
  <w:style w:type="paragraph" w:styleId="6">
    <w:name w:val="Body Text"/>
    <w:basedOn w:val="1"/>
    <w:autoRedefine/>
    <w:qFormat/>
    <w:uiPriority w:val="0"/>
    <w:pPr>
      <w:spacing w:afterLines="50" w:line="360" w:lineRule="auto"/>
    </w:pPr>
    <w:rPr>
      <w:rFonts w:ascii="宋体" w:hAnsi="宋体"/>
      <w:color w:val="000000"/>
      <w:sz w:val="24"/>
    </w:rPr>
  </w:style>
  <w:style w:type="paragraph" w:styleId="7">
    <w:name w:val="Body Text Indent 2"/>
    <w:basedOn w:val="1"/>
    <w:autoRedefine/>
    <w:qFormat/>
    <w:uiPriority w:val="0"/>
    <w:pPr>
      <w:spacing w:line="460" w:lineRule="exact"/>
      <w:ind w:firstLine="600"/>
    </w:pPr>
    <w:rPr>
      <w:rFonts w:ascii="仿宋_GB2312" w:eastAsia="仿宋_GB2312"/>
      <w:sz w:val="2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autoRedefine/>
    <w:semiHidden/>
    <w:qFormat/>
    <w:uiPriority w:val="0"/>
    <w:pPr>
      <w:tabs>
        <w:tab w:val="right" w:leader="dot" w:pos="8296"/>
      </w:tabs>
    </w:pPr>
    <w:rPr>
      <w:rFonts w:ascii="Times New Roman" w:hAnsi="Times New Roman" w:eastAsia="宋体" w:cs="Times New Roman"/>
    </w:rPr>
  </w:style>
  <w:style w:type="paragraph" w:styleId="11">
    <w:name w:val="Normal (Web)"/>
    <w:basedOn w:val="1"/>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paragraph" w:customStyle="1" w:styleId="15">
    <w:name w:val="正文表格"/>
    <w:basedOn w:val="1"/>
    <w:autoRedefine/>
    <w:qFormat/>
    <w:uiPriority w:val="0"/>
    <w:pPr>
      <w:spacing w:before="60" w:after="60"/>
    </w:pPr>
    <w:rPr>
      <w:sz w:val="24"/>
    </w:rPr>
  </w:style>
  <w:style w:type="paragraph" w:customStyle="1" w:styleId="16">
    <w:name w:val="1"/>
    <w:basedOn w:val="1"/>
    <w:next w:val="1"/>
    <w:autoRedefine/>
    <w:qFormat/>
    <w:uiPriority w:val="0"/>
    <w:pPr>
      <w:spacing w:before="60" w:after="60"/>
      <w:ind w:firstLine="425"/>
    </w:pPr>
    <w:rPr>
      <w:sz w:val="24"/>
    </w:rPr>
  </w:style>
  <w:style w:type="paragraph" w:customStyle="1" w:styleId="17">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8">
    <w:name w:val="Body text|1"/>
    <w:basedOn w:val="1"/>
    <w:autoRedefine/>
    <w:qFormat/>
    <w:uiPriority w:val="0"/>
    <w:pPr>
      <w:spacing w:line="420" w:lineRule="auto"/>
      <w:ind w:firstLine="400"/>
    </w:pPr>
    <w:rPr>
      <w:rFonts w:ascii="宋体" w:hAnsi="宋体" w:eastAsia="宋体" w:cs="宋体"/>
      <w:sz w:val="20"/>
      <w:szCs w:val="20"/>
      <w:lang w:val="zh-TW" w:eastAsia="zh-TW" w:bidi="zh-TW"/>
    </w:rPr>
  </w:style>
  <w:style w:type="paragraph" w:customStyle="1" w:styleId="19">
    <w:name w:val="无间隔1"/>
    <w:qFormat/>
    <w:uiPriority w:val="1"/>
    <w:pPr>
      <w:widowControl w:val="0"/>
      <w:spacing w:line="300" w:lineRule="auto"/>
    </w:pPr>
    <w:rPr>
      <w:rFonts w:ascii="Times New Roman" w:hAnsi="Times New Roman"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4503</Words>
  <Characters>4634</Characters>
  <Lines>37</Lines>
  <Paragraphs>10</Paragraphs>
  <TotalTime>2</TotalTime>
  <ScaleCrop>false</ScaleCrop>
  <LinksUpToDate>false</LinksUpToDate>
  <CharactersWithSpaces>5082</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2026-05-07T07:19:00Z</dcterms:created>
  <dc:creator>x</dc:creator>
  <cp:lastModifiedBy>微信用户</cp:lastModifiedBy>
  <cp:lastPrinted>2024-11-21T07:31:00Z</cp:lastPrinted>
  <dcterms:modified xsi:type="dcterms:W3CDTF">2026-08-30T03:29:24Z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E5DC248A4BD44529B8AEE1CD7D32DF9A_13</vt:lpwstr>
  </property>
  <property fmtid="{D5CDD505-2E9C-101B-9397-08002B2CF9AE}" pid="4" name="KSOTemplateDocerSaveRecord">
    <vt:lpwstr>eyJoZGlkIjoiNGE4MjkzYjYwN2M4ZGM1ZTYwYzM1NzcxZTdjNDJjOGQiLCJ1c2VySWQiOiIxMjg2NTE3OTc2In0=</vt:lpwstr>
  </property>
</Properties>
</file>